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right"/>
      </w:pPr>
      <w:r>
        <w:rPr>
          <w:sz w:val="22"/>
          <w:szCs w:val="22"/>
        </w:rPr>
        <w:t xml:space="preserve">УТВЕРЖДАЮ</w:t>
      </w:r>
    </w:p>
    <w:p>
      <w:pPr>
        <w:spacing w:after="40"/>
        <w:jc w:val="right"/>
      </w:pPr>
      <w:r>
        <w:rPr>
          <w:sz w:val="22"/>
          <w:szCs w:val="22"/>
        </w:rPr>
        <w:t xml:space="preserve">Должность утверждающего лица</w:t>
      </w:r>
    </w:p>
    <w:p>
      <w:pPr>
        <w:spacing w:after="40"/>
        <w:jc w:val="right"/>
      </w:pPr>
      <w:r>
        <w:rPr>
          <w:sz w:val="22"/>
          <w:szCs w:val="22"/>
        </w:rPr>
        <w:t xml:space="preserve">_________________ Фамилия И. О. руководителя либо ответственного за защиту информации (п. 36)</w:t>
      </w:r>
    </w:p>
    <w:p>
      <w:pPr>
        <w:spacing w:after="400"/>
        <w:jc w:val="right"/>
      </w:pPr>
      <w:r>
        <w:rPr>
          <w:sz w:val="22"/>
          <w:szCs w:val="22"/>
        </w:rPr>
        <w:t xml:space="preserve">«____» ______________ 20___ г.</w:t>
      </w:r>
    </w:p>
    <w:p>
      <w:pPr>
        <w:pStyle w:val="Heading1"/>
        <w:spacing w:after="120"/>
        <w:jc w:val="center"/>
      </w:pPr>
      <w:r>
        <w:rPr>
          <w:b/>
          <w:bCs/>
          <w:sz w:val="30"/>
          <w:szCs w:val="30"/>
        </w:rPr>
        <w:t xml:space="preserve">ОТЧЁТ ОБ ОЦЕНКЕ УРОВНЯ ЗРЕЛОСТИ ДЕЯТЕЛЬНОСТИ</w:t>
      </w:r>
    </w:p>
    <w:p>
      <w:pPr>
        <w:spacing w:after="300"/>
        <w:jc w:val="center"/>
      </w:pPr>
      <w:r>
        <w:rPr>
          <w:b/>
          <w:bCs/>
          <w:sz w:val="30"/>
          <w:szCs w:val="30"/>
        </w:rPr>
        <w:t xml:space="preserve">ПО ЗАЩИТЕ ИНФОРМАЦИИ (Узи)</w:t>
      </w:r>
    </w:p>
    <w:p>
      <w:pPr>
        <w:spacing w:after="120"/>
        <w:jc w:val="center"/>
      </w:pPr>
      <w:r>
        <w:rPr>
          <w:b/>
          <w:bCs/>
          <w:sz w:val="24"/>
          <w:szCs w:val="24"/>
        </w:rPr>
        <w:t xml:space="preserve">ООО «Пример» — замените на полное наименование вашей организации (подпункт «а» п. 35)</w:t>
      </w:r>
    </w:p>
    <w:p>
      <w:pPr>
        <w:spacing w:after="200"/>
        <w:jc w:val="center"/>
      </w:pPr>
      <w:r>
        <w:rPr>
          <w:i/>
          <w:iCs/>
          <w:sz w:val="20"/>
          <w:szCs w:val="20"/>
        </w:rPr>
        <w:t xml:space="preserve">Оценка проведена в соответствии с методическим документом ФСТЭК России «Методика оценки уровня зрелости деятельности в области технической защиты информации в информационных системах и обеспечения безопасности значимых объектов критической информационной инфраструктуры Российской Федерации», утверждённым ФСТЭК России 7 августа 2026 г.</w:t>
      </w:r>
    </w:p>
    <w:p>
      <w:pPr>
        <w:spacing w:after="600"/>
        <w:jc w:val="center"/>
      </w:pPr>
      <w:r>
        <w:rPr>
          <w:i/>
          <w:iCs/>
          <w:color w:val="6b7280"/>
          <w:sz w:val="18"/>
          <w:szCs w:val="18"/>
        </w:rPr>
        <w:t xml:space="preserve">Официальный унифицированный шаблон отчёта Методикой не установлен. Настоящий документ — авторский шаблон «Кибероснова», разработанный в полном соответствии с составом сведений, определённым пунктом 35 раздела VI Методики: содержит все обязательные разделы и поля, часть которых оператор дополняет самостоятельно.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1. Сведения об операторе и действующих требованиях по защите информации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Оператор (орган, организация): </w:t>
      </w:r>
      <w:r>
        <w:rPr>
          <w:b/>
          <w:bCs/>
          <w:sz w:val="22"/>
          <w:szCs w:val="22"/>
        </w:rPr>
        <w:t xml:space="preserve">ООО «Пример» — замените на полное наименование вашей организации (подпункт «а» п. 35)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ИНН: </w:t>
      </w:r>
      <w:r>
        <w:rPr>
          <w:b/>
          <w:bCs/>
          <w:sz w:val="22"/>
          <w:szCs w:val="22"/>
        </w:rPr>
        <w:t xml:space="preserve">0000000000 — укажите ИНН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ОГРН: </w:t>
      </w:r>
      <w:r>
        <w:rPr>
          <w:b/>
          <w:bCs/>
          <w:sz w:val="22"/>
          <w:szCs w:val="22"/>
        </w:rPr>
        <w:t xml:space="preserve">0000000000000 — укажите ОГРН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Адрес: </w:t>
      </w:r>
      <w:r>
        <w:rPr>
          <w:b/>
          <w:bCs/>
          <w:sz w:val="22"/>
          <w:szCs w:val="22"/>
        </w:rPr>
        <w:t xml:space="preserve">Укажите юридический адрес организации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Действующие требования по защите информации: </w:t>
      </w:r>
      <w:r>
        <w:rPr>
          <w:b/>
          <w:bCs/>
          <w:sz w:val="22"/>
          <w:szCs w:val="22"/>
        </w:rPr>
        <w:t xml:space="preserve">Перечислите применимые требования: приказ ФСТЭК России № 21 (ИСПДн), № 117 (ГИС, с 01.03.2026), № 239 (значимые объекты КИИ) — оставьте относящиеся к вашим системам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2. Дата проведения оценки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Дата оценки: </w:t>
      </w:r>
      <w:r>
        <w:rPr>
          <w:b/>
          <w:bCs/>
          <w:sz w:val="22"/>
          <w:szCs w:val="22"/>
        </w:rPr>
        <w:t xml:space="preserve">Укажите период проведения оценки, например: 01.09.2026 — 15.09.2026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Дата формирования отчёта: </w:t>
      </w:r>
      <w:r>
        <w:rPr>
          <w:b/>
          <w:bCs/>
          <w:sz w:val="22"/>
          <w:szCs w:val="22"/>
        </w:rPr>
        <w:t xml:space="preserve">13.08.2026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3. Сведения о лицах, проводивших оценку</w:t>
      </w:r>
    </w:p>
    <w:p>
      <w:pPr>
        <w:spacing w:after="100"/>
      </w:pPr>
      <w:r>
        <w:rPr>
          <w:sz w:val="22"/>
          <w:szCs w:val="22"/>
        </w:rPr>
        <w:t xml:space="preserve">Фамилия Имя Отчество — специалист, проводивший оценку, Должность (например: специалист по защите информации), Ваша организация (при внешней оценке — организация-лицензиат), Телефон, e-mail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4. Сведения об участниках оценки, предоставлявших исходные данные</w:t>
      </w:r>
    </w:p>
    <w:p>
      <w:pPr>
        <w:spacing w:after="100"/>
      </w:pPr>
      <w:r>
        <w:rPr>
          <w:sz w:val="22"/>
          <w:szCs w:val="22"/>
        </w:rPr>
        <w:t xml:space="preserve">Фамилия Имя Отчество, Должность, Подразделение, предоставившее исходные данные (подпункт «г» п. 35)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5. Результаты предыдущей оценки и динамика (пункт 33)</w:t>
      </w:r>
    </w:p>
    <w:p>
      <w:pPr>
        <w:spacing w:after="100"/>
      </w:pPr>
      <w:r>
        <w:rPr>
          <w:sz w:val="22"/>
          <w:szCs w:val="22"/>
        </w:rPr>
        <w:t xml:space="preserve">Предыдущие оценки уровня зрелости не проводились.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6. Исходные данные, на основании которых проводилась оценка</w:t>
      </w:r>
    </w:p>
    <w:p>
      <w:pPr>
        <w:spacing w:after="100"/>
      </w:pPr>
      <w:r>
        <w:rPr>
          <w:sz w:val="22"/>
          <w:szCs w:val="22"/>
        </w:rPr>
        <w:t xml:space="preserve">Перечислите использованные исходные данные по п. 19 Методики: политика защиты информации; ОРД о полномочиях ответственных лиц и подразделений; внутренние стандарты и регламенты; план мероприятий; отчёты и протоколы по результатам мероприятий; результаты предыдущей оценки (при наличии); отчёты по контролю защищённости; акты госконтроля; документированные результаты опроса работников (п. 25); результаты наблюдений; данные инструментальных средств</w:t>
      </w:r>
    </w:p>
    <w:p>
      <w:pPr>
        <w:spacing w:after="100"/>
      </w:pPr>
      <w:r>
        <w:rPr>
          <w:sz w:val="22"/>
          <w:szCs w:val="22"/>
        </w:rPr>
        <w:t xml:space="preserve">По каждому направлению укажите подтверждающие документы (подпункт «к» п. 35): наименования ОРД, средств защиты, отчётной документации и результатов мероприятий — см. таблицу направлений выше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7. Сведения об используемых методах и инструментах</w:t>
      </w:r>
    </w:p>
    <w:p>
      <w:pPr>
        <w:spacing w:after="100"/>
      </w:pPr>
      <w:r>
        <w:rPr>
          <w:sz w:val="22"/>
          <w:szCs w:val="22"/>
        </w:rPr>
        <w:t xml:space="preserve">Укажите методы и инструменты (п. 20): анализ документов, интервьюирование работников, наблюдение; GRC-система / SOAR / инструменты корпоративной архитектуры / языковые модели (п. 20«г») — если применялись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8. Перечень направлений деятельности (областей оценки)</w:t>
      </w:r>
    </w:p>
    <w:p>
      <w:pPr>
        <w:spacing w:after="100"/>
      </w:pPr>
      <w:r>
        <w:rPr>
          <w:sz w:val="22"/>
          <w:szCs w:val="22"/>
        </w:rPr>
        <w:t xml:space="preserve">Оценка проведена по 21 направлениям деятельности по защите информации (пункт 12 методики). Включено в расчёт: 21. Исключено оператором (пункт 13): 0.</w:t>
      </w:r>
    </w:p>
    <w:p>
      <w:pPr>
        <w:spacing w:after="100"/>
      </w:pPr>
      <w:r>
        <w:rPr>
          <w:sz w:val="22"/>
          <w:szCs w:val="22"/>
        </w:rPr>
        <w:t xml:space="preserve">1. Организация и управление деятельностью</w:t>
      </w:r>
    </w:p>
    <w:p>
      <w:pPr>
        <w:spacing w:after="100"/>
      </w:pPr>
      <w:r>
        <w:rPr>
          <w:sz w:val="22"/>
          <w:szCs w:val="22"/>
        </w:rPr>
        <w:t xml:space="preserve">2. Выявление и оценка угроз безопасности информации</w:t>
      </w:r>
    </w:p>
    <w:p>
      <w:pPr>
        <w:spacing w:after="100"/>
      </w:pPr>
      <w:r>
        <w:rPr>
          <w:sz w:val="22"/>
          <w:szCs w:val="22"/>
        </w:rPr>
        <w:t xml:space="preserve">3. Контроль конфигураций информационных систем</w:t>
      </w:r>
    </w:p>
    <w:p>
      <w:pPr>
        <w:spacing w:after="100"/>
      </w:pPr>
      <w:r>
        <w:rPr>
          <w:sz w:val="22"/>
          <w:szCs w:val="22"/>
        </w:rPr>
        <w:t xml:space="preserve">4. Управление уязвимостями</w:t>
      </w:r>
    </w:p>
    <w:p>
      <w:pPr>
        <w:spacing w:after="100"/>
      </w:pPr>
      <w:r>
        <w:rPr>
          <w:sz w:val="22"/>
          <w:szCs w:val="22"/>
        </w:rPr>
        <w:t xml:space="preserve">5. Управление обновлениями</w:t>
      </w:r>
    </w:p>
    <w:p>
      <w:pPr>
        <w:spacing w:after="100"/>
      </w:pPr>
      <w:r>
        <w:rPr>
          <w:sz w:val="22"/>
          <w:szCs w:val="22"/>
        </w:rPr>
        <w:t xml:space="preserve">6. Защита информации при обращении с информацией ограниченного доступа</w:t>
      </w:r>
    </w:p>
    <w:p>
      <w:pPr>
        <w:spacing w:after="100"/>
      </w:pPr>
      <w:r>
        <w:rPr>
          <w:sz w:val="22"/>
          <w:szCs w:val="22"/>
        </w:rPr>
        <w:t xml:space="preserve">7. Защита информации при применении конечных устройств</w:t>
      </w:r>
    </w:p>
    <w:p>
      <w:pPr>
        <w:spacing w:after="100"/>
      </w:pPr>
      <w:r>
        <w:rPr>
          <w:sz w:val="22"/>
          <w:szCs w:val="22"/>
        </w:rPr>
        <w:t xml:space="preserve">8. Защита информации при применении мобильных устройств</w:t>
      </w:r>
    </w:p>
    <w:p>
      <w:pPr>
        <w:spacing w:after="100"/>
      </w:pPr>
      <w:r>
        <w:rPr>
          <w:sz w:val="22"/>
          <w:szCs w:val="22"/>
        </w:rPr>
        <w:t xml:space="preserve">9. Защита удаленного доступа</w:t>
      </w:r>
    </w:p>
    <w:p>
      <w:pPr>
        <w:spacing w:after="100"/>
      </w:pPr>
      <w:r>
        <w:rPr>
          <w:sz w:val="22"/>
          <w:szCs w:val="22"/>
        </w:rPr>
        <w:t xml:space="preserve">10. Защита беспроводного доступа</w:t>
      </w:r>
    </w:p>
    <w:p>
      <w:pPr>
        <w:spacing w:after="100"/>
      </w:pPr>
      <w:r>
        <w:rPr>
          <w:sz w:val="22"/>
          <w:szCs w:val="22"/>
        </w:rPr>
        <w:t xml:space="preserve">11. Защита привилегированного доступа</w:t>
      </w:r>
    </w:p>
    <w:p>
      <w:pPr>
        <w:spacing w:after="100"/>
      </w:pPr>
      <w:r>
        <w:rPr>
          <w:sz w:val="22"/>
          <w:szCs w:val="22"/>
        </w:rPr>
        <w:t xml:space="preserve">12. Мониторинг информационной безопасности</w:t>
      </w:r>
    </w:p>
    <w:p>
      <w:pPr>
        <w:spacing w:after="100"/>
      </w:pPr>
      <w:r>
        <w:rPr>
          <w:sz w:val="22"/>
          <w:szCs w:val="22"/>
        </w:rPr>
        <w:t xml:space="preserve">13. Разработка безопасного программного обеспечения</w:t>
      </w:r>
    </w:p>
    <w:p>
      <w:pPr>
        <w:spacing w:after="100"/>
      </w:pPr>
      <w:r>
        <w:rPr>
          <w:sz w:val="22"/>
          <w:szCs w:val="22"/>
        </w:rPr>
        <w:t xml:space="preserve">14. Физическая защита</w:t>
      </w:r>
    </w:p>
    <w:p>
      <w:pPr>
        <w:spacing w:after="100"/>
      </w:pPr>
      <w:r>
        <w:rPr>
          <w:sz w:val="22"/>
          <w:szCs w:val="22"/>
        </w:rPr>
        <w:t xml:space="preserve">15. Непрерывность функционирования</w:t>
      </w:r>
    </w:p>
    <w:p>
      <w:pPr>
        <w:spacing w:after="100"/>
      </w:pPr>
      <w:r>
        <w:rPr>
          <w:sz w:val="22"/>
          <w:szCs w:val="22"/>
        </w:rPr>
        <w:t xml:space="preserve">16. Повышение уровня знаний и информированности</w:t>
      </w:r>
    </w:p>
    <w:p>
      <w:pPr>
        <w:spacing w:after="100"/>
      </w:pPr>
      <w:r>
        <w:rPr>
          <w:sz w:val="22"/>
          <w:szCs w:val="22"/>
        </w:rPr>
        <w:t xml:space="preserve">17. Защита информации при взаимодействии с подрядными организациями</w:t>
      </w:r>
    </w:p>
    <w:p>
      <w:pPr>
        <w:spacing w:after="100"/>
      </w:pPr>
      <w:r>
        <w:rPr>
          <w:sz w:val="22"/>
          <w:szCs w:val="22"/>
        </w:rPr>
        <w:t xml:space="preserve">18. Защита от компьютерных атак, направленных на отказ в обслуживании</w:t>
      </w:r>
    </w:p>
    <w:p>
      <w:pPr>
        <w:spacing w:after="100"/>
      </w:pPr>
      <w:r>
        <w:rPr>
          <w:sz w:val="22"/>
          <w:szCs w:val="22"/>
        </w:rPr>
        <w:t xml:space="preserve">19. Защита информации при использовании искусственного интеллекта</w:t>
      </w:r>
    </w:p>
    <w:p>
      <w:pPr>
        <w:spacing w:after="100"/>
      </w:pPr>
      <w:r>
        <w:rPr>
          <w:sz w:val="22"/>
          <w:szCs w:val="22"/>
        </w:rPr>
        <w:t xml:space="preserve">20. Защита информационных систем и содержащейся в них информации</w:t>
      </w:r>
    </w:p>
    <w:p>
      <w:pPr>
        <w:spacing w:after="100"/>
      </w:pPr>
      <w:r>
        <w:rPr>
          <w:sz w:val="22"/>
          <w:szCs w:val="22"/>
        </w:rPr>
        <w:t xml:space="preserve">21. Контроль уровня защищенности</w:t>
      </w:r>
    </w:p>
    <w:p>
      <w:pPr>
        <w:sectPr>
          <w:pgSz w:w="11908" w:h="16833" w:orient="portrait"/>
          <w:pgMar w:top="1152" w:right="863" w:bottom="1152" w:left="1440" w:header="708" w:footer="708" w:gutter="0"/>
          <w:pgNumType/>
          <w:docGrid w:linePitch="360"/>
        </w:sectPr>
      </w:pP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9. Результаты оценки Dij и расчёта Pзн по каждому направлению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Обозначения: D1 — Документирование; D2 — Выполнение; D3 — Инструменты; D4 — Квалификация; D5 — Контроль; D6 — Обучение; D7 — Внешний аудит; D8 — Актуализация.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4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pct" w:w="2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Направление деятельности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D1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D2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D3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D4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D5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D6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D7</w:t>
            </w:r>
          </w:p>
        </w:tc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D8</w:t>
            </w:r>
          </w:p>
        </w:tc>
        <w:tc>
          <w:tcPr>
            <w:tcW w:type="pct" w:w="7.333333333333333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Pзн</w:t>
            </w:r>
          </w:p>
        </w:tc>
        <w:tc>
          <w:tcPr>
            <w:tcW w:type="pct" w:w="7.333333333333333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Узитi</w:t>
            </w:r>
          </w:p>
        </w:tc>
        <w:tc>
          <w:tcPr>
            <w:tcW w:type="pct" w:w="7.333333333333333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Узицi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Организация и управление деятельностью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Выявление и оценка угроз безопасности информации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Контроль конфигураций информационных систем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Управление уязвимостями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Управление обновлениями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обращении с информацией ограниченного доступа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применении конечных устройств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применении мобильных устройств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удаленного доступа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беспроводного доступа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привилегированного доступа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Мониторинг информационной безопасности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Разработка безопасного программного обеспечения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Физическая защита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Непрерывность функционирования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Повышение уровня знаний и информированности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17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взаимодействии с подрядными организациями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от компьютерных атак, направленных на отказ в обслуживании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19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использовании искусственного интеллекта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информационных систем и содержащейся в них информации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  <w:tr>
        <w:tc>
          <w:tcPr>
            <w:tcW w:type="pct" w:w="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21</w:t>
            </w:r>
          </w:p>
        </w:tc>
        <w:tc>
          <w:tcPr>
            <w:tcW w:type="pct" w:w="26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Контроль уровня защищенности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0,100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0,075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0,050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0,500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7.333333333333333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</w:tr>
    </w:tbl>
    <w:p>
      <w:pPr>
        <w:sectPr>
          <w:pgSz w:w="11908" w:h="16833" w:orient="landscape"/>
          <w:pgMar w:top="863" w:right="863" w:bottom="863" w:left="863" w:header="708" w:footer="708" w:gutter="0"/>
          <w:pgNumType/>
          <w:docGrid w:linePitch="360"/>
        </w:sectPr>
      </w:pP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10. Текущие уровни зрелости направлений и расчёт Узи</w:t>
      </w:r>
    </w:p>
    <w:p>
      <w:pPr>
        <w:spacing w:after="80"/>
      </w:pPr>
      <w:r>
        <w:rPr>
          <w:color w:val="666666"/>
          <w:sz w:val="22"/>
          <w:szCs w:val="22"/>
        </w:rPr>
        <w:t xml:space="preserve">Уровень зрелости деятельности по защите информации (Узи): </w:t>
      </w:r>
      <w:r>
        <w:rPr>
          <w:b/>
          <w:bCs/>
          <w:sz w:val="22"/>
          <w:szCs w:val="22"/>
        </w:rPr>
        <w:t xml:space="preserve">1,80 — Начальный</w:t>
      </w:r>
    </w:p>
    <w:p>
      <w:pPr>
        <w:spacing w:after="80"/>
      </w:pPr>
      <w:r>
        <w:rPr>
          <w:color w:val="666666"/>
          <w:sz w:val="22"/>
          <w:szCs w:val="22"/>
        </w:rPr>
        <w:t xml:space="preserve">Число направлений, включённых в расчёт (N): </w:t>
      </w:r>
      <w:r>
        <w:rPr>
          <w:b/>
          <w:bCs/>
          <w:sz w:val="22"/>
          <w:szCs w:val="22"/>
        </w:rPr>
        <w:t xml:space="preserve">21</w:t>
      </w:r>
    </w:p>
    <w:p>
      <w:pPr>
        <w:spacing w:after="80"/>
      </w:pPr>
      <w:r>
        <w:rPr>
          <w:color w:val="666666"/>
          <w:sz w:val="22"/>
          <w:szCs w:val="22"/>
        </w:rPr>
        <w:t xml:space="preserve">Заполнено видов требований: </w:t>
      </w:r>
      <w:r>
        <w:rPr>
          <w:b/>
          <w:bCs/>
          <w:sz w:val="22"/>
          <w:szCs w:val="22"/>
        </w:rPr>
        <w:t xml:space="preserve">168 из 168</w:t>
      </w:r>
    </w:p>
    <w:p>
      <w:pPr>
        <w:spacing w:after="100"/>
      </w:pPr>
      <w:r>
        <w:rPr>
          <w:sz w:val="22"/>
          <w:szCs w:val="22"/>
        </w:rPr>
        <w:t xml:space="preserve">Управление деятельностью формально осуществляется, соответствует требованиям, допускаются отдельные недостатки. Мероприятия (процессы) и меры реализованы не в полной мере или с отдельными недостатками</w:t>
      </w:r>
    </w:p>
    <w:p>
      <w:pPr>
        <w:spacing w:after="100"/>
      </w:pPr>
      <w:r>
        <w:rPr>
          <w:sz w:val="22"/>
          <w:szCs w:val="22"/>
        </w:rPr>
        <w:t xml:space="preserve">Подтверждения достигнутых уровней зрелости по направлениям деятельности (подпункт «к» пункта 35 раздела VI Методики):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5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pct" w:w="30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Направление деятельности</w:t>
            </w:r>
          </w:p>
        </w:tc>
        <w:tc>
          <w:tcPr>
            <w:tcW w:type="pct" w:w="8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Узитi</w:t>
            </w:r>
          </w:p>
        </w:tc>
        <w:tc>
          <w:tcPr>
            <w:tcW w:type="pct" w:w="57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Подтверждающие документы, инструментальные средства, отчётная документация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Организация и управление деятельностью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Выявление и оценка угроз безопасности информации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Контроль конфигураций информационных систем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Управление уязвимостями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Управление обновлениями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обращении с информацией ограниченного доступа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применении конечных устройств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применении мобильных устройств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удаленного доступа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беспроводного доступа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привилегированного доступа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Мониторинг информационной безопасности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Разработка безопасного программного обеспечения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Физическая защита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Непрерывность функционирования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16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Повышение уровня знаний и информированности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17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взаимодействии с подрядными организациями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18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от компьютерных атак, направленных на отказ в обслуживании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19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использовании искусственного интеллекта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20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информационных систем и содержащейся в них информации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  <w:tr>
        <w:tc>
          <w:tcPr>
            <w:tcW w:type="pct" w:w="5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21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Контроль уровня защищенности</w:t>
            </w:r>
          </w:p>
        </w:tc>
        <w:tc>
          <w:tcPr>
            <w:tcW w:type="pct" w:w="8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pct" w:w="57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—</w:t>
            </w:r>
          </w:p>
        </w:tc>
      </w:tr>
    </w:tbl>
    <w:p>
      <w:pPr>
        <w:spacing w:after="100"/>
      </w:pPr>
      <w:r>
        <w:rPr>
          <w:sz w:val="22"/>
          <w:szCs w:val="22"/>
        </w:rPr>
        <w:t xml:space="preserve">Общие подтверждающие документы: По каждому направлению укажите подтверждающие документы (подпункт «к» п. 35): наименования ОРД, средств защиты, отчётной документации и результатов мероприятий — см. таблицу направлений выше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11. Графическая интерпретация целевых уровней (диаграмма профиля уровней зрелости)</w:t>
      </w:r>
    </w:p>
    <w:p>
      <w:pPr>
        <w:spacing w:after="100"/>
      </w:pPr>
      <w:r>
        <w:rPr>
          <w:i/>
          <w:iCs/>
          <w:sz w:val="22"/>
          <w:szCs w:val="22"/>
        </w:rPr>
        <w:t xml:space="preserve">Диаграмма профиля уровней зрелости (пункты 8д, 17 Методики) формируется на основе значений Узитi и Узицi по таблице раздела 9 настоящего отчёта. Графическое представление доступно в интерфейсе калькулятора и в PDF-снимке расчёта.</w:t>
      </w:r>
    </w:p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12. Направления с недостигнутыми целевыми значениями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pct" w:w="44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Направление деятельности</w:t>
            </w:r>
          </w:p>
        </w:tc>
        <w:tc>
          <w:tcPr>
            <w:tcW w:type="pct" w:w="10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Узитi</w:t>
            </w:r>
          </w:p>
        </w:tc>
        <w:tc>
          <w:tcPr>
            <w:tcW w:type="pct" w:w="10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Узицi</w:t>
            </w:r>
          </w:p>
        </w:tc>
        <w:tc>
          <w:tcPr>
            <w:tcW w:type="pct" w:w="30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Виды требований с недостатками</w:t>
            </w:r>
          </w:p>
        </w:tc>
      </w:tr>
      <w:tr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pct" w:w="44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Управление уязвимостями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D1, D2, D3, D4, D5, D6, D7, D8</w:t>
            </w:r>
          </w:p>
        </w:tc>
      </w:tr>
      <w:tr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pct" w:w="44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удаленного доступа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D1, D2, D3, D4, D5, D6, D7, D8</w:t>
            </w:r>
          </w:p>
        </w:tc>
      </w:tr>
      <w:tr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pct" w:w="44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Физическая защита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D1, D2, D3, D4, D5, D6, D7, D8</w:t>
            </w:r>
          </w:p>
        </w:tc>
      </w:tr>
      <w:tr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19</w:t>
            </w:r>
          </w:p>
        </w:tc>
        <w:tc>
          <w:tcPr>
            <w:tcW w:type="pct" w:w="44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Защита информации при использовании искусственного интеллекта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10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pct" w:w="3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D1, D2, D3, D4, D5, D6, D7, D8</w:t>
            </w:r>
          </w:p>
        </w:tc>
      </w:tr>
    </w:tbl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13. Рекомендации по совершенствованию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pct" w:w="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№</w:t>
            </w:r>
          </w:p>
        </w:tc>
        <w:tc>
          <w:tcPr>
            <w:tcW w:type="pct" w:w="44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Мероприятие (процесс), мера по защите информации</w:t>
            </w:r>
          </w:p>
        </w:tc>
        <w:tc>
          <w:tcPr>
            <w:tcW w:type="pct" w:w="14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Направление</w:t>
            </w:r>
          </w:p>
        </w:tc>
        <w:tc>
          <w:tcPr>
            <w:tcW w:type="pct" w:w="16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Срок</w:t>
            </w:r>
          </w:p>
        </w:tc>
        <w:tc>
          <w:tcPr>
            <w:tcW w:type="pct" w:w="20%"/>
            <w:shd w:fill="D9E2F3" w:color="D9E2F3" w:val="solid"/>
            <w:vAlign w:val="center"/>
          </w:tcPr>
          <w:p>
            <w:pPr>
              <w:jc w:val="center"/>
            </w:pPr>
            <w:r>
              <w:rPr>
                <w:b/>
                <w:bCs/>
                <w:sz w:val="18"/>
                <w:szCs w:val="18"/>
              </w:rPr>
              <w:t xml:space="preserve">Ответственный</w:t>
            </w:r>
          </w:p>
        </w:tc>
      </w:tr>
      <w:tr>
        <w:tc>
          <w:tcPr>
            <w:tcW w:type="pct" w:w="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pct" w:w="44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Мероприятие: для направлений с недостигнутым целевым уровнем перечислите меры по защите информации (подпункт «н» п. 35)</w:t>
            </w:r>
          </w:p>
        </w:tc>
        <w:tc>
          <w:tcPr>
            <w:tcW w:type="pct" w:w="14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—</w:t>
            </w:r>
          </w:p>
        </w:tc>
        <w:tc>
          <w:tcPr>
            <w:tcW w:type="pct" w:w="16%"/>
            <w:vAlign w:val="center"/>
          </w:tcPr>
          <w:p>
            <w:pPr>
              <w:jc w:val="center"/>
            </w:pPr>
            <w:r>
              <w:rPr>
                <w:sz w:val="18"/>
                <w:szCs w:val="18"/>
              </w:rPr>
              <w:t xml:space="preserve">Срок реализации, например: до 01.12.2026</w:t>
            </w:r>
          </w:p>
        </w:tc>
        <w:tc>
          <w:tcPr>
            <w:tcW w:type="pct" w:w="20%"/>
            <w:vAlign w:val="center"/>
          </w:tcPr>
          <w:p>
            <w:pPr>
              <w:jc w:val="left"/>
            </w:pPr>
            <w:r>
              <w:rPr>
                <w:sz w:val="18"/>
                <w:szCs w:val="18"/>
              </w:rPr>
              <w:t xml:space="preserve">Ответственное подразделение или работник</w:t>
            </w:r>
          </w:p>
        </w:tc>
      </w:tr>
    </w:tbl>
    <w:p>
      <w:pPr>
        <w:pStyle w:val="Heading2"/>
        <w:spacing w:before="240" w:after="120"/>
      </w:pPr>
      <w:r>
        <w:rPr>
          <w:b/>
          <w:bCs/>
          <w:sz w:val="24"/>
          <w:szCs w:val="24"/>
        </w:rPr>
        <w:t xml:space="preserve">14. Подписи специалистов, проводивших оценку</w:t>
      </w:r>
    </w:p>
    <w:p>
      <w:pPr>
        <w:spacing w:after="100"/>
      </w:pPr>
      <w:r>
        <w:rPr>
          <w:sz w:val="22"/>
          <w:szCs w:val="22"/>
        </w:rPr>
        <w:t xml:space="preserve">Отчёт подписывается специалистами, проводившими оценку, и утверждается руководителем органа (организации) либо работником, ответственным за защиту информации (пункт 36).</w:t>
      </w:r>
    </w:p>
    <w:p>
      <w:pPr>
        <w:spacing w:before="240"/>
      </w:pPr>
      <w:r>
        <w:rPr>
          <w:sz w:val="22"/>
          <w:szCs w:val="22"/>
        </w:rPr>
        <w:t xml:space="preserve">Должность (например: специалист по защите информации)</w:t>
      </w:r>
      <w:r>
        <w:rPr>
          <w:sz w:val="22"/>
          <w:szCs w:val="22"/>
        </w:rPr>
        <w:t xml:space="preserve">   _________________   </w:t>
      </w:r>
      <w:r>
        <w:rPr>
          <w:sz w:val="22"/>
          <w:szCs w:val="22"/>
        </w:rPr>
        <w:t xml:space="preserve">Фамилия Имя Отчество — специалист, проводивший оценку</w:t>
      </w:r>
    </w:p>
    <w:sectPr>
      <w:pgSz w:w="11908" w:h="16833" w:orient="portrait"/>
      <w:pgMar w:top="1152" w:right="863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об оценке уровня зрелости деятельности по защите информации</dc:title>
  <dc:creator>Кибероснова</dc:creator>
  <dc:description>Сформирован по составу пункта 35 раздела VI МД ФСТЭК России от 07.08.2026</dc:description>
  <cp:lastModifiedBy>Un-named</cp:lastModifiedBy>
  <cp:revision>1</cp:revision>
  <dcterms:created xsi:type="dcterms:W3CDTF">2026-08-13T18:46:51.113Z</dcterms:created>
  <dcterms:modified xsi:type="dcterms:W3CDTF">2026-08-13T18:46:51.113Z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