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уведомление"/>
    <w:p>
      <w:pPr>
        <w:pStyle w:val="Heading1"/>
        <w:jc w:val="center"/>
      </w:pPr>
      <w:r>
        <w:rPr>
          <w:color w:val="000000"/>
        </w:rPr>
        <w:t xml:space="preserve">УВЕДОМЛЕНИЕ</w:t>
      </w:r>
    </w:p>
    <w:bookmarkStart w:id="20" w:name="об-обработке-персональных-данных"/>
    <w:p>
      <w:pPr>
        <w:pStyle w:val="Heading2"/>
        <w:jc w:val="center"/>
      </w:pPr>
      <w:r>
        <w:rPr>
          <w:color w:val="000000"/>
        </w:rPr>
        <w:t xml:space="preserve">об обработке персональных данных</w:t>
      </w:r>
    </w:p>
    <w:p>
      <w:pPr>
        <w:pStyle w:val="FirstParagraph"/>
        <w:jc w:val="both"/>
      </w:pPr>
      <w:r>
        <w:t xml:space="preserve">Направляется в соответствии с частью 1 статьи 22 Федерального закона от 27.07.2006 № 152-ФЗ «О персональных данных» (далее — Федеральный закон).</w:t>
      </w:r>
    </w:p>
    <w:bookmarkEnd w:id="20"/>
    <w:bookmarkStart w:id="22" w:name="Xf61de7da74c04fd780708396080817d26edb269"/>
    <w:p>
      <w:pPr>
        <w:pStyle w:val="Heading2"/>
        <w:jc w:val="left"/>
      </w:pPr>
      <w:r>
        <w:rPr>
          <w:color w:val="000000"/>
        </w:rPr>
        <w:t xml:space="preserve">1. Сведения об операторе персональных данных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Реквизит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Полное наименование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Общество с ограниченной ответственностью «Ромашка»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Сокращённое наименование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ООО «Ромашка»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ИНН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1234567890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ОГРН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1021234567890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Юридический адрес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123456, г. Москва, ул. Примерная, д. 1, офис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Фактический адрес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123456, г. Москва, ул. Примерная, д. 1, офис 1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Адрес электронной почты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hyperlink r:id="rId21">
              <w:r>
                <w:rPr>
                  <w:rStyle w:val="Hyperlink"/>
                  <w:shd w:val="clear" w:color="auto" w:fill="C6EFCE"/>
                </w:rPr>
                <w:t xml:space="preserve">privacy@romashka.ru</w:t>
              </w:r>
            </w:hyperlink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Контактный телефон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rPr>
                <w:shd w:val="clear" w:color="auto" w:fill="C6EFCE"/>
              </w:rPr>
              <w:t xml:space="preserve">+7 (495) 000-00-00</w:t>
            </w:r>
          </w:p>
        </w:tc>
      </w:tr>
    </w:tbl>
    <w:bookmarkEnd w:id="22"/>
    <w:bookmarkStart w:id="23" w:name="X2891843634c4a0b2faf192ccb10887eae2725c6"/>
    <w:p>
      <w:pPr>
        <w:pStyle w:val="Heading2"/>
        <w:jc w:val="left"/>
      </w:pPr>
      <w:r>
        <w:rPr>
          <w:color w:val="000000"/>
        </w:rPr>
        <w:t xml:space="preserve">2. Правовое основание обработки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2.1. Общие основания: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Федеральный закон от 27.07.2006 № 152-ФЗ «О персональных данных»;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Трудовой кодекс Российской Федерации от 30.12.2001 № 197-ФЗ;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Гражданский кодекс Российской Федерации (часть первая) от 30.11.1994 № 51-ФЗ;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Налоговый кодекс Российской Федерации (часть вторая) от 05.08.2000 № 117-ФЗ;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Федеральный закон от 06.12.2011 № 402-ФЗ «О бухгалтерском учёте».</w:t>
      </w:r>
    </w:p>
    <w:p>
      <w:pPr>
        <w:pStyle w:val="FirstParagraph"/>
        <w:jc w:val="both"/>
      </w:pPr>
      <w:r>
        <w:rPr>
          <w:b/>
          <w:bCs/>
        </w:rPr>
        <w:t xml:space="preserve">2.2. Обоснование обработки без согласия субъекта:</w:t>
      </w:r>
    </w:p>
    <w:p>
      <w:pPr>
        <w:pStyle w:val="BodyText"/>
        <w:jc w:val="both"/>
      </w:pPr>
      <w:r>
        <w:t xml:space="preserve">Обработка персональных данных без получения согласия субъекта осуществляется на основании: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ст. 6 ч. 1 п. 2 — обработка необходима для достижения целей, предусмотренных законом (ТК РФ, НК РФ, 402-ФЗ);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ст. 6 ч. 1 п. 5 — обработка необходима для исполнения договора, стороной которого является субъект персональных данных;</w:t>
      </w:r>
    </w:p>
    <w:p>
      <w:pPr>
        <w:pStyle w:val="Compact"/>
        <w:numPr>
          <w:ilvl w:val="0"/>
          <w:numId w:val="1002"/>
        </w:numPr>
        <w:jc w:val="both"/>
      </w:pPr>
      <w:r>
        <w:t xml:space="preserve">ст. 6 ч. 1 п. 7 — обработка необходима для защиты жизни, здоровья или иных жизненно важных интересов субъекта, если получение его согласия невозможно.</w:t>
      </w:r>
    </w:p>
    <w:bookmarkEnd w:id="23"/>
    <w:bookmarkStart w:id="24" w:name="Xbeace849d13d32061f6e6b21824ed9311357d8b"/>
    <w:p>
      <w:pPr>
        <w:pStyle w:val="Heading2"/>
        <w:jc w:val="left"/>
      </w:pPr>
      <w:r>
        <w:rPr>
          <w:color w:val="000000"/>
        </w:rPr>
        <w:t xml:space="preserve">3. Цели обработки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Цель 1. Кадровое делопроизводство и организация трудовых отношений</w:t>
      </w:r>
    </w:p>
    <w:p>
      <w:pPr>
        <w:pStyle w:val="BodyText"/>
        <w:jc w:val="both"/>
      </w:pPr>
      <w:r>
        <w:t xml:space="preserve">Правовые основания: ТК РФ ст. 65, 86–90; ст. 6 ч. 1 п. 2, ст. 10 ч. 2 п. 2 Федерального закона.</w:t>
      </w:r>
      <w:r>
        <w:t xml:space="preserve"> </w:t>
      </w:r>
      <w:r>
        <w:t xml:space="preserve">Срок обработки: в течение срока действия трудового договора; по истечении — до 75 лет (архивное законодательство).</w:t>
      </w:r>
    </w:p>
    <w:p>
      <w:pPr>
        <w:pStyle w:val="BodyText"/>
        <w:jc w:val="both"/>
      </w:pPr>
      <w:r>
        <w:rPr>
          <w:b/>
          <w:bCs/>
        </w:rPr>
        <w:t xml:space="preserve">Цель 2. Бухгалтерский учёт, налоговый учёт и отчётность</w:t>
      </w:r>
    </w:p>
    <w:p>
      <w:pPr>
        <w:pStyle w:val="BodyText"/>
        <w:jc w:val="both"/>
      </w:pPr>
      <w:r>
        <w:t xml:space="preserve">Правовые основания: 402-ФЗ; НК РФ; ст. 6 ч. 1 п. 2 Федерального закона.</w:t>
      </w:r>
      <w:r>
        <w:t xml:space="preserve"> </w:t>
      </w:r>
      <w:r>
        <w:t xml:space="preserve">Срок обработки: не менее 5 лет.</w:t>
      </w:r>
    </w:p>
    <w:p>
      <w:pPr>
        <w:pStyle w:val="BodyText"/>
        <w:jc w:val="both"/>
      </w:pPr>
      <w:r>
        <w:rPr>
          <w:b/>
          <w:bCs/>
        </w:rPr>
        <w:t xml:space="preserve">Цель 3. Исполнение обязательств по гражданско-правовым договорам</w:t>
      </w:r>
    </w:p>
    <w:p>
      <w:pPr>
        <w:pStyle w:val="BodyText"/>
        <w:jc w:val="both"/>
      </w:pPr>
      <w:r>
        <w:t xml:space="preserve">Правовые основания: ГК РФ ст. 309, 310; ст. 6 ч. 1 п. 5 Федерального закона.</w:t>
      </w:r>
      <w:r>
        <w:t xml:space="preserve"> </w:t>
      </w:r>
      <w:r>
        <w:t xml:space="preserve">Срок обработки: срок действия договора + 5 лет.</w:t>
      </w:r>
    </w:p>
    <w:p>
      <w:pPr>
        <w:pStyle w:val="BodyText"/>
        <w:jc w:val="both"/>
      </w:pPr>
      <w:r>
        <w:rPr>
          <w:b/>
          <w:bCs/>
        </w:rPr>
        <w:t xml:space="preserve">Цель 4. Обработка обращений пользователей через интернет-сайт</w:t>
      </w:r>
    </w:p>
    <w:p>
      <w:pPr>
        <w:pStyle w:val="BodyText"/>
        <w:jc w:val="both"/>
      </w:pPr>
      <w:r>
        <w:t xml:space="preserve">Правовые основания: ст. 6 ч. 1 п. 1 Федерального закона (согласие субъекта).</w:t>
      </w:r>
      <w:r>
        <w:t xml:space="preserve"> </w:t>
      </w:r>
      <w:r>
        <w:t xml:space="preserve">Срок обработки: до момента отзыва согласия либо 3 года с момента последнего взаимодействия.</w:t>
      </w:r>
    </w:p>
    <w:bookmarkEnd w:id="24"/>
    <w:bookmarkStart w:id="25" w:name="X900e649338c21872d14bed37100160a1c00ab65"/>
    <w:p>
      <w:pPr>
        <w:pStyle w:val="Heading2"/>
        <w:jc w:val="left"/>
      </w:pPr>
      <w:r>
        <w:rPr>
          <w:color w:val="000000"/>
        </w:rPr>
        <w:t xml:space="preserve">4. Категории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4.1. Стандартные категории: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фамилия, имя, отчество;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дата и место рождения;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паспортные данные (серия, номер, дата выдачи, наименование органа, выдавшего документ);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адрес регистрации по месту жительства (пребывания);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адрес фактического проживания;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номер контактного телефона;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адрес электронной почты;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ИНН, СНИЛС;</w:t>
      </w:r>
    </w:p>
    <w:p>
      <w:pPr>
        <w:pStyle w:val="Compact"/>
        <w:numPr>
          <w:ilvl w:val="0"/>
          <w:numId w:val="1003"/>
        </w:numPr>
        <w:jc w:val="both"/>
      </w:pPr>
      <w:r>
        <w:t xml:space="preserve">реквизиты банковского счёта.</w:t>
      </w:r>
    </w:p>
    <w:p>
      <w:pPr>
        <w:pStyle w:val="FirstParagraph"/>
        <w:jc w:val="both"/>
      </w:pPr>
      <w:r>
        <w:rPr>
          <w:b/>
          <w:bCs/>
        </w:rPr>
        <w:t xml:space="preserve">4.2. Специальные категории (ст.10):</w:t>
      </w:r>
      <w:r>
        <w:t xml:space="preserve"> </w:t>
      </w:r>
      <w:r>
        <w:t xml:space="preserve">Сведения о состоянии здоровья — исключительно в части, необходимой для предоставления льгот по трудовому законодательству.</w:t>
      </w:r>
    </w:p>
    <w:bookmarkEnd w:id="25"/>
    <w:bookmarkStart w:id="26" w:name="X46d336cf328bd836144006a59f78dcb5e7ae126"/>
    <w:p>
      <w:pPr>
        <w:pStyle w:val="Heading2"/>
        <w:jc w:val="left"/>
      </w:pPr>
      <w:r>
        <w:rPr>
          <w:color w:val="000000"/>
        </w:rPr>
        <w:t xml:space="preserve">5. Категории субъектов персональных данных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Работники</w:t>
      </w:r>
      <w:r>
        <w:t xml:space="preserve"> </w:t>
      </w:r>
      <w:r>
        <w:t xml:space="preserve">— физические лица, состоящие с оператором в трудовых отношениях;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Кандидаты на замещение вакантных должностей</w:t>
      </w:r>
      <w:r>
        <w:t xml:space="preserve"> </w:t>
      </w:r>
      <w:r>
        <w:t xml:space="preserve">— физические лица, предоставившие резюме;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Контрагенты — физические лица</w:t>
      </w:r>
      <w:r>
        <w:t xml:space="preserve"> </w:t>
      </w:r>
      <w:r>
        <w:t xml:space="preserve">— граждане, являющиеся стороной по гражданско-правовым договорам;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Представители контрагентов — юридических лиц</w:t>
      </w:r>
      <w:r>
        <w:t xml:space="preserve"> </w:t>
      </w:r>
      <w:r>
        <w:t xml:space="preserve">— уполномоченные физические лица;</w:t>
      </w:r>
    </w:p>
    <w:p>
      <w:pPr>
        <w:pStyle w:val="Compact"/>
        <w:numPr>
          <w:ilvl w:val="0"/>
          <w:numId w:val="1004"/>
        </w:numPr>
        <w:jc w:val="both"/>
      </w:pPr>
      <w:r>
        <w:rPr>
          <w:b/>
          <w:bCs/>
        </w:rPr>
        <w:t xml:space="preserve">Пользователи интернет-сайта</w:t>
      </w:r>
      <w:r>
        <w:t xml:space="preserve"> </w:t>
      </w:r>
      <w:r>
        <w:t xml:space="preserve">— физические лица, оставляющие заявки и обращения на сайте оператора.</w:t>
      </w:r>
    </w:p>
    <w:bookmarkEnd w:id="26"/>
    <w:bookmarkStart w:id="27" w:name="X082f48e98ac4ec153e243fb2c2e3628d7da1a07"/>
    <w:p>
      <w:pPr>
        <w:pStyle w:val="Heading2"/>
        <w:jc w:val="left"/>
      </w:pPr>
      <w:r>
        <w:rPr>
          <w:color w:val="000000"/>
        </w:rPr>
        <w:t xml:space="preserve">6. Перечень действий с персональными данными</w:t>
      </w:r>
    </w:p>
    <w:p>
      <w:pPr>
        <w:pStyle w:val="FirstParagraph"/>
        <w:jc w:val="both"/>
      </w:pPr>
      <w: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bookmarkEnd w:id="27"/>
    <w:bookmarkStart w:id="28" w:name="X8a6faa09bb1229a1e7ed8536f56da9c258e823d"/>
    <w:p>
      <w:pPr>
        <w:pStyle w:val="Heading2"/>
        <w:jc w:val="left"/>
      </w:pPr>
      <w:r>
        <w:rPr>
          <w:color w:val="000000"/>
        </w:rPr>
        <w:t xml:space="preserve">7. Способы обработки персональных данных</w:t>
      </w:r>
    </w:p>
    <w:p>
      <w:pPr>
        <w:pStyle w:val="FirstParagraph"/>
        <w:jc w:val="both"/>
      </w:pPr>
      <w:r>
        <w:t xml:space="preserve">Обработка осуществляется смешанным способом: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автоматизированная обработка</w:t>
      </w:r>
      <w:r>
        <w:t xml:space="preserve"> </w:t>
      </w:r>
      <w:r>
        <w:t xml:space="preserve">— с применением средств вычислительной техники и информационных систем;</w:t>
      </w:r>
    </w:p>
    <w:p>
      <w:pPr>
        <w:pStyle w:val="Compact"/>
        <w:numPr>
          <w:ilvl w:val="0"/>
          <w:numId w:val="1005"/>
        </w:numPr>
        <w:jc w:val="both"/>
      </w:pPr>
      <w:r>
        <w:rPr>
          <w:b/>
          <w:bCs/>
        </w:rPr>
        <w:t xml:space="preserve">неавтоматизированная обработка</w:t>
      </w:r>
      <w:r>
        <w:t xml:space="preserve"> </w:t>
      </w:r>
      <w:r>
        <w:t xml:space="preserve">— без применения средств автоматизации, на бумажных носителях.</w:t>
      </w:r>
    </w:p>
    <w:bookmarkEnd w:id="28"/>
    <w:bookmarkStart w:id="29" w:name="X6811aaa8f1b043e6b4e125c5fd3ea619d6be2cd"/>
    <w:p>
      <w:pPr>
        <w:pStyle w:val="Heading2"/>
        <w:jc w:val="left"/>
      </w:pPr>
      <w:r>
        <w:rPr>
          <w:color w:val="000000"/>
        </w:rPr>
        <w:t xml:space="preserve">8. Меры по обеспечению безопасности персональных данных</w:t>
      </w:r>
    </w:p>
    <w:p>
      <w:pPr>
        <w:pStyle w:val="FirstParagraph"/>
        <w:jc w:val="both"/>
      </w:pPr>
      <w:r>
        <w:rPr>
          <w:b/>
          <w:bCs/>
        </w:rPr>
        <w:t xml:space="preserve">8.1. Уровень защищённости:</w:t>
      </w:r>
      <w:r>
        <w:t xml:space="preserve"> </w:t>
      </w:r>
      <w:r>
        <w:t xml:space="preserve">УЗ-3 (ПП-1119 от 01.11.2012 № 1119) для кадровых и клиентских ИСПДн.</w:t>
      </w:r>
    </w:p>
    <w:p>
      <w:pPr>
        <w:pStyle w:val="BodyText"/>
        <w:jc w:val="both"/>
      </w:pPr>
      <w:r>
        <w:rPr>
          <w:b/>
          <w:bCs/>
        </w:rPr>
        <w:t xml:space="preserve">8.2. Организационные меры: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назначен ответственный за организацию обработки персональных данных;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утверждена политика оператора в отношении обработки персональных данных;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разработаны и введены в действие локальные нормативные документы;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проведена оценка вреда, который может быть причинён субъектам персональных данных;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организовано ознакомление работников с требованиями законодательства;</w:t>
      </w:r>
    </w:p>
    <w:p>
      <w:pPr>
        <w:pStyle w:val="Compact"/>
        <w:numPr>
          <w:ilvl w:val="0"/>
          <w:numId w:val="1006"/>
        </w:numPr>
        <w:jc w:val="both"/>
      </w:pPr>
      <w:r>
        <w:t xml:space="preserve">установлен порядок допуска и разграничение прав доступа.</w:t>
      </w:r>
    </w:p>
    <w:p>
      <w:pPr>
        <w:pStyle w:val="FirstParagraph"/>
        <w:jc w:val="both"/>
      </w:pPr>
      <w:r>
        <w:rPr>
          <w:b/>
          <w:bCs/>
        </w:rPr>
        <w:t xml:space="preserve">8.3. Технические меры: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применяются средства защиты информации, прошедшие оценку соответствия;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применяются средства антивирусной защиты;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используются средства межсетевого экранирования;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ведётся регистрация и учёт действий пользователей;</w:t>
      </w:r>
    </w:p>
    <w:p>
      <w:pPr>
        <w:pStyle w:val="Compact"/>
        <w:numPr>
          <w:ilvl w:val="0"/>
          <w:numId w:val="1007"/>
        </w:numPr>
        <w:jc w:val="both"/>
      </w:pPr>
      <w:r>
        <w:t xml:space="preserve">производится резервное копирование персональных данных.</w:t>
      </w:r>
    </w:p>
    <w:bookmarkEnd w:id="29"/>
    <w:bookmarkStart w:id="31" w:name="X69da1c93fa097545aec66f00e5f518d8f0546d9"/>
    <w:p>
      <w:pPr>
        <w:pStyle w:val="Heading2"/>
        <w:jc w:val="left"/>
      </w:pPr>
      <w:r>
        <w:rPr>
          <w:color w:val="000000"/>
        </w:rPr>
        <w:t xml:space="preserve">9. Ответственный за организацию обработки персональных данных</w:t>
      </w:r>
    </w:p>
    <w:p>
      <w:pPr>
        <w:pStyle w:val="FirstParagraph"/>
        <w:jc w:val="both"/>
      </w:pPr>
      <w:r>
        <w:rPr>
          <w:shd w:val="clear" w:color="auto" w:fill="C6EFCE"/>
        </w:rPr>
        <w:t xml:space="preserve">Сидорова Мария Сергеевна</w:t>
      </w:r>
      <w:r>
        <w:t xml:space="preserve">,</w:t>
      </w:r>
      <w:r>
        <w:t xml:space="preserve"> </w:t>
      </w:r>
      <w:r>
        <w:rPr>
          <w:shd w:val="clear" w:color="auto" w:fill="C6EFCE"/>
        </w:rPr>
        <w:t xml:space="preserve">Начальник отдела кадров</w:t>
      </w:r>
      <w:r>
        <w:t xml:space="preserve">.</w:t>
      </w:r>
      <w:r>
        <w:t xml:space="preserve"> </w:t>
      </w:r>
      <w:r>
        <w:t xml:space="preserve">Email:</w:t>
      </w:r>
      <w:r>
        <w:t xml:space="preserve"> </w:t>
      </w:r>
      <w:hyperlink r:id="rId30">
        <w:r>
          <w:rPr>
            <w:rStyle w:val="Hyperlink"/>
            <w:shd w:val="clear" w:color="auto" w:fill="C6EFCE"/>
          </w:rPr>
          <w:t xml:space="preserve">pdm@romashka.ru</w:t>
        </w:r>
      </w:hyperlink>
      <w:r>
        <w:t xml:space="preserve"> </w:t>
      </w:r>
      <w:r>
        <w:t xml:space="preserve">| Тел.:</w:t>
      </w:r>
      <w:r>
        <w:t xml:space="preserve"> </w:t>
      </w:r>
      <w:r>
        <w:rPr>
          <w:shd w:val="clear" w:color="auto" w:fill="C6EFCE"/>
        </w:rPr>
        <w:t xml:space="preserve">+7 (495) 000-00-01</w:t>
      </w:r>
    </w:p>
    <w:bookmarkEnd w:id="31"/>
    <w:bookmarkStart w:id="32" w:name="X0329ee0501a215143d4a64cbc69ef24aa68c6ec"/>
    <w:p>
      <w:pPr>
        <w:pStyle w:val="Heading2"/>
        <w:jc w:val="left"/>
      </w:pPr>
      <w:r>
        <w:rPr>
          <w:color w:val="000000"/>
        </w:rPr>
        <w:t xml:space="preserve">10. Осуществление трансграничной передачи персональных данных</w:t>
      </w:r>
    </w:p>
    <w:p>
      <w:pPr>
        <w:pStyle w:val="FirstParagraph"/>
        <w:jc w:val="both"/>
      </w:pPr>
      <w:r>
        <w:t xml:space="preserve">Трансграничная передача персональных данных</w:t>
      </w:r>
      <w:r>
        <w:t xml:space="preserve"> </w:t>
      </w:r>
      <w:r>
        <w:rPr>
          <w:b/>
          <w:bCs/>
        </w:rPr>
        <w:t xml:space="preserve">не осуществляется</w:t>
      </w:r>
      <w:r>
        <w:t xml:space="preserve">.</w:t>
      </w:r>
    </w:p>
    <w:p>
      <w:pPr>
        <w:pStyle w:val="BodyText"/>
        <w:jc w:val="both"/>
      </w:pPr>
      <w:r>
        <w:t xml:space="preserve">Персональные данные не передаются на территорию иностранных государств.</w:t>
      </w:r>
    </w:p>
    <w:bookmarkEnd w:id="32"/>
    <w:bookmarkStart w:id="33" w:name="Xae57c449f0077f1f5b72aba11b9c96ea4fe2b8b"/>
    <w:p>
      <w:pPr>
        <w:pStyle w:val="Heading2"/>
        <w:jc w:val="left"/>
      </w:pPr>
      <w:r>
        <w:rPr>
          <w:color w:val="000000"/>
        </w:rPr>
        <w:t xml:space="preserve">11. Местонахождение базы данных персональных данных</w:t>
      </w:r>
    </w:p>
    <w:p>
      <w:pPr>
        <w:pStyle w:val="FirstParagraph"/>
        <w:jc w:val="both"/>
      </w:pPr>
      <w:r>
        <w:t xml:space="preserve">Первичная запись, систематизация, накопление, хранение персональных данных граждан Российской Федерации осуществляются с использованием баз данных, расположенных</w:t>
      </w:r>
      <w:r>
        <w:t xml:space="preserve"> </w:t>
      </w:r>
      <w:r>
        <w:rPr>
          <w:b/>
          <w:bCs/>
        </w:rPr>
        <w:t xml:space="preserve">на территории Российской Федерации</w:t>
      </w:r>
      <w:r>
        <w:t xml:space="preserve">.</w:t>
      </w:r>
    </w:p>
    <w:bookmarkEnd w:id="33"/>
    <w:bookmarkStart w:id="34" w:name="Xa0e6774c760b38ec9d99fc5eff7df16c3fbcd8b"/>
    <w:p>
      <w:pPr>
        <w:pStyle w:val="Heading2"/>
        <w:jc w:val="left"/>
      </w:pPr>
      <w:r>
        <w:rPr>
          <w:color w:val="000000"/>
        </w:rPr>
        <w:t xml:space="preserve">12. Использование автоматизированного принятия решений</w:t>
      </w:r>
    </w:p>
    <w:p>
      <w:pPr>
        <w:pStyle w:val="FirstParagraph"/>
        <w:jc w:val="both"/>
      </w:pPr>
      <w:r>
        <w:t xml:space="preserve">Принятие решений на основании исключительно автоматизированной обработки персональных данных, порождающих юридические последствия,</w:t>
      </w:r>
      <w:r>
        <w:t xml:space="preserve"> </w:t>
      </w:r>
      <w:r>
        <w:rPr>
          <w:b/>
          <w:bCs/>
        </w:rPr>
        <w:t xml:space="preserve">не осуществляется</w:t>
      </w:r>
      <w:r>
        <w:t xml:space="preserve">.</w:t>
      </w:r>
    </w:p>
    <w:bookmarkEnd w:id="34"/>
    <w:bookmarkStart w:id="35" w:name="подпись-и-реквизиты"/>
    <w:p>
      <w:pPr>
        <w:pStyle w:val="Heading2"/>
        <w:jc w:val="left"/>
      </w:pPr>
      <w:r>
        <w:rPr>
          <w:color w:val="000000"/>
        </w:rPr>
        <w:t xml:space="preserve">Подпись и реквизиты</w:t>
      </w:r>
    </w:p>
    <w:p>
      <w:pPr>
        <w:pStyle w:val="FirstParagraph"/>
        <w:jc w:val="both"/>
      </w:pPr>
      <w:r>
        <w:t xml:space="preserve">Оператор подтверждает достоверность сведений, указанных в настоящем уведомлении, и принимает на себя обязательство незамедлительно сообщать в уполномоченный орган об изменении указанных сведений (ч. 7 ст. 22 Федерального закона).</w:t>
      </w:r>
    </w:p>
    <w:p>
      <w:pPr>
        <w:pStyle w:val="BodyTex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t xml:space="preserve">______________________________________________ /</w:t>
      </w:r>
      <w:r>
        <w:t xml:space="preserve"> </w:t>
      </w:r>
      <w:r>
        <w:rPr>
          <w:shd w:val="clear" w:color="auto" w:fill="C6EFCE"/>
        </w:rPr>
        <w:t xml:space="preserve">И.И. Иванов</w:t>
      </w:r>
      <w:r>
        <w:t xml:space="preserve"> </w:t>
      </w:r>
      <w:r>
        <w:t xml:space="preserve">/</w:t>
      </w:r>
    </w:p>
    <w:p>
      <w:pPr>
        <w:pStyle w:val="BodyText"/>
      </w:pPr>
      <w:r>
        <w:t xml:space="preserve">Дата направления уведомления: 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p>
      <w:pPr>
        <w:pStyle w:val="BodyText"/>
        <w:jc w:val="both"/>
      </w:pPr>
      <w:r>
        <w:t xml:space="preserve">М.П.</w:t>
      </w:r>
    </w:p>
    <w:bookmarkEnd w:id="35"/>
    <w:bookmarkStart w:id="36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подаче уведомления в Роскомнадзор. Удалите страницу перед подачей документа в уполномоченный орган.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Правовая основа: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22 ч. 1 152-ФЗ — обязанность направить уведомление до начала обработки ПДн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22.1 ч. 3 пп. 1–12 — перечень обязательных сведений (все 12 разделов документа)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Ст. 22 ч. 7 152-ФЗ — обязанность уведомить РКН об изменении сведений</w:t>
      </w:r>
    </w:p>
    <w:p>
      <w:pPr>
        <w:pStyle w:val="Compact"/>
        <w:numPr>
          <w:ilvl w:val="0"/>
          <w:numId w:val="1008"/>
        </w:numPr>
        <w:jc w:val="both"/>
        <w:shd w:val="clear" w:color="auto" w:fill="F2F2F2"/>
      </w:pPr>
      <w:r>
        <w:t xml:space="preserve">242-ФЗ ст. 18 ч. 5 — локализация БД граждан РФ на территории России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1 — Сведения об операторе: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наименование по ЕГРЮЛ/ЕГРИП точь-в-точь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 (при наличии в уставе)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~~1234567890~~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~~1021234567890~~</w:t>
      </w:r>
      <w:r>
        <w:t xml:space="preserve"> </w:t>
      </w:r>
      <w:r>
        <w:t xml:space="preserve">— из свидетельства о регистрации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юридический адрес из ЕГРЮЛ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~~123456, г. Москва, ул. Примерная, д. 1, офис 1~~</w:t>
      </w:r>
      <w:r>
        <w:t xml:space="preserve"> </w:t>
      </w:r>
      <w:r>
        <w:t xml:space="preserve">— фактический адрес ведения деятельности</w:t>
      </w:r>
    </w:p>
    <w:p>
      <w:pPr>
        <w:pStyle w:val="Compact"/>
        <w:numPr>
          <w:ilvl w:val="0"/>
          <w:numId w:val="1009"/>
        </w:numPr>
        <w:jc w:val="both"/>
        <w:shd w:val="clear" w:color="auto" w:fill="F2F2F2"/>
      </w:pPr>
      <w:r>
        <w:rPr>
          <w:rStyle w:val="VerbatimChar"/>
        </w:rPr>
        <w:t xml:space="preserve">~~privacy@romashka.ru~~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~~+7 (495) 000-00-00~~</w:t>
      </w:r>
      <w:r>
        <w:t xml:space="preserve"> </w:t>
      </w:r>
      <w:r>
        <w:t xml:space="preserve">— официальные контакты организации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9 — Ответственный за организацию обработки ПДн: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rPr>
          <w:rStyle w:val="VerbatimChar"/>
        </w:rPr>
        <w:t xml:space="preserve">~~Сидорова Мария Сергеевна~~</w:t>
      </w:r>
      <w:r>
        <w:t xml:space="preserve"> </w:t>
      </w:r>
      <w:r>
        <w:t xml:space="preserve">— ФИО в именительном падеже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rPr>
          <w:rStyle w:val="VerbatimChar"/>
        </w:rPr>
        <w:t xml:space="preserve">~~Начальник отдела кадров~~</w:t>
      </w:r>
      <w:r>
        <w:t xml:space="preserve"> </w:t>
      </w:r>
      <w:r>
        <w:t xml:space="preserve">— должность строго по штатному расписанию</w:t>
      </w:r>
    </w:p>
    <w:p>
      <w:pPr>
        <w:pStyle w:val="Compact"/>
        <w:numPr>
          <w:ilvl w:val="0"/>
          <w:numId w:val="1010"/>
        </w:numPr>
        <w:jc w:val="both"/>
        <w:shd w:val="clear" w:color="auto" w:fill="F2F2F2"/>
      </w:pPr>
      <w:r>
        <w:rPr>
          <w:rStyle w:val="VerbatimChar"/>
        </w:rPr>
        <w:t xml:space="preserve">~~pdm@romashka.ru~~</w:t>
      </w:r>
      <w:r>
        <w:t xml:space="preserve">,</w:t>
      </w:r>
      <w:r>
        <w:t xml:space="preserve"> </w:t>
      </w:r>
      <w:r>
        <w:rPr>
          <w:rStyle w:val="VerbatimChar"/>
        </w:rPr>
        <w:t xml:space="preserve">~~+7 (495) 000-00-01~~</w:t>
      </w:r>
      <w:r>
        <w:t xml:space="preserve"> </w:t>
      </w:r>
      <w:r>
        <w:t xml:space="preserve">— контакты ответственного (не генерального)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Подпись: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~~Генеральный директор~~</w:t>
      </w:r>
      <w:r>
        <w:t xml:space="preserve"> </w:t>
      </w:r>
      <w:r>
        <w:t xml:space="preserve">— должность руководителя-подписанта (Генеральный директор / ИП)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(И.И. Иванов)</w:t>
      </w:r>
    </w:p>
    <w:p>
      <w:pPr>
        <w:pStyle w:val="Compact"/>
        <w:numPr>
          <w:ilvl w:val="0"/>
          <w:numId w:val="1011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год; дату направления вписать от руки при подаче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Специфика документа: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Уведомление подаётся</w:t>
      </w:r>
      <w:r>
        <w:t xml:space="preserve"> </w:t>
      </w:r>
      <w:r>
        <w:rPr>
          <w:b/>
          <w:bCs/>
        </w:rPr>
        <w:t xml:space="preserve">до начала</w:t>
      </w:r>
      <w:r>
        <w:t xml:space="preserve"> </w:t>
      </w:r>
      <w:r>
        <w:t xml:space="preserve">обработки ПДн (не после)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Способ подачи: через портал pd.rkn.gov.ru (электронно, с ЭП) либо почтой заказным письмом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При изменении любого из 12 разделов — уведомить РКН в течение</w:t>
      </w:r>
      <w:r>
        <w:t xml:space="preserve"> </w:t>
      </w:r>
      <w:r>
        <w:rPr>
          <w:b/>
          <w:bCs/>
        </w:rPr>
        <w:t xml:space="preserve">10 рабочих дней</w:t>
      </w:r>
      <w:r>
        <w:t xml:space="preserve"> </w:t>
      </w:r>
      <w:r>
        <w:t xml:space="preserve">(ч. 7 ст. 22 152-ФЗ)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Разделы 10 (трансграничная передача) и 12 (автоматизированные решения) заполнены как «не осуществляется» — если в вашей организации иначе, эти разделы требуют редактирования</w:t>
      </w:r>
    </w:p>
    <w:p>
      <w:pPr>
        <w:pStyle w:val="Compact"/>
        <w:numPr>
          <w:ilvl w:val="0"/>
          <w:numId w:val="1012"/>
        </w:numPr>
        <w:jc w:val="both"/>
        <w:shd w:val="clear" w:color="auto" w:fill="F2F2F2"/>
      </w:pPr>
      <w:r>
        <w:t xml:space="preserve">УЗ-3 в разделе 8 — проверьте соответствие по ПП-1119: если обрабатываете специальные или биометрические категории, уровень защищённости может быть выше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Хранение:</w:t>
      </w:r>
      <w:r>
        <w:t xml:space="preserve"> </w:t>
      </w:r>
      <w:r>
        <w:t xml:space="preserve">хранить оригинал уведомления с отметкой о принятии РКН бессрочно (подтверждение статуса оператора).</w:t>
      </w:r>
    </w:p>
    <w:bookmarkEnd w:id="36"/>
    <w:bookmarkEnd w:id="37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Уведомление об обработке ПДн в Роскомнадзор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30" Type="http://schemas.openxmlformats.org/officeDocument/2006/relationships/hyperlink" Target="mailto:pdm@romashka.ru" TargetMode="External"/><Relationship Id="rId21" Type="http://schemas.openxmlformats.org/officeDocument/2006/relationships/hyperlink" Target="mailto:privacy@romashka.ru" TargetMode="External"/></Relationships>
</file>

<file path=word/_rels/footnotes.xml.rels><?xml version='1.0' encoding='UTF-8' standalone='yes'?>
<Relationships xmlns="http://schemas.openxmlformats.org/package/2006/relationships"><Relationship Id="rId30" Type="http://schemas.openxmlformats.org/officeDocument/2006/relationships/hyperlink" Target="mailto:pdm@romashka.ru" TargetMode="External"/><Relationship Id="rId21" Type="http://schemas.openxmlformats.org/officeDocument/2006/relationships/hyperlink" Target="mailto:privacy@romash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2026-06-05T15:33:23Z</dcterms:created>
  <dcterms:modified xsi:type="dcterms:W3CDTF">2026-06-05T15:33:23Z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