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PT Sans" w:hAnsi="PT Sans" w:eastAsia="PT Sans"/>
          <w:b w:val="0"/>
          <w:sz w:val="22"/>
        </w:rPr>
        <w:t>---</w:t>
      </w:r>
    </w:p>
    <w:p>
      <w:r>
        <w:rPr>
          <w:rFonts w:ascii="PT Sans" w:hAnsi="PT Sans" w:eastAsia="PT Sans"/>
          <w:b w:val="0"/>
          <w:sz w:val="22"/>
        </w:rPr>
        <w:t>slug: tz-na-szi</w:t>
      </w:r>
    </w:p>
    <w:p>
      <w:r>
        <w:rPr>
          <w:rFonts w:ascii="PT Sans" w:hAnsi="PT Sans" w:eastAsia="PT Sans"/>
          <w:b w:val="0"/>
          <w:sz w:val="22"/>
        </w:rPr>
        <w:t>sources_used: [own, gost-34602-2020, fstec-21, 152-fz]</w:t>
      </w:r>
    </w:p>
    <w:p>
      <w:r>
        <w:rPr>
          <w:rFonts w:ascii="PT Sans" w:hAnsi="PT Sans" w:eastAsia="PT Sans"/>
          <w:b w:val="0"/>
          <w:sz w:val="22"/>
        </w:rPr>
        <w:t>npa_coverage: [152-ФЗ ст.19, Приказ ФСТЭК №21, ГОСТ 34.602-2020]</w:t>
      </w:r>
    </w:p>
    <w:p>
      <w:r>
        <w:rPr>
          <w:rFonts w:ascii="PT Sans" w:hAnsi="PT Sans" w:eastAsia="PT Sans"/>
          <w:b w:val="0"/>
          <w:sz w:val="22"/>
        </w:rPr>
        <w:t>verification: PASS (3/3)</w:t>
      </w:r>
    </w:p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jc w:val="right"/>
      </w:pPr>
      <w:r>
        <w:rPr>
          <w:rFonts w:ascii="PT Sans" w:hAnsi="PT Sans" w:eastAsia="PT Sans"/>
          <w:b/>
          <w:sz w:val="22"/>
        </w:rPr>
        <w:t>УТВЕРЖДАЮ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Генеральный директор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ООО «Кибероснова»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____________ Иванов И.И.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«____» ____________ 2026 г.</w:t>
      </w:r>
    </w:p>
    <w:p>
      <w:pPr>
        <w:pStyle w:val="Heading1"/>
      </w:pPr>
      <w:r>
        <w:t>Техническое задание на создание (модернизацию) системы защиты информации</w:t>
      </w:r>
    </w:p>
    <w:p/>
    <w:p>
      <w:r>
        <w:rPr>
          <w:rFonts w:ascii="PT Sans" w:hAnsi="PT Sans" w:eastAsia="PT Sans"/>
          <w:b/>
          <w:sz w:val="22"/>
        </w:rPr>
        <w:t>Информационная система персональных данных ООО «Кибероснова»</w:t>
      </w:r>
    </w:p>
    <w:p/>
    <w:p>
      <w:r>
        <w:rPr>
          <w:rFonts w:ascii="PT Sans" w:hAnsi="PT Sans" w:eastAsia="PT Sans"/>
          <w:b w:val="0"/>
          <w:sz w:val="22"/>
        </w:rPr>
        <w:t>Версия 1.0 · 2026 год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1. Общие сведения</w:t>
      </w:r>
    </w:p>
    <w:p/>
    <w:p>
      <w:r>
        <w:rPr>
          <w:rFonts w:ascii="PT Sans" w:hAnsi="PT Sans" w:eastAsia="PT Sans"/>
          <w:b w:val="0"/>
          <w:sz w:val="22"/>
        </w:rPr>
        <w:t>Наименование заказчика: ОБЩЕСТВО С ОГРАНИЧЕННОЙ ОТВЕТСТВЕННОСТЬЮ «КИБЕРОСНОВА» (далее — Заказчик, Организация).</w:t>
      </w:r>
    </w:p>
    <w:p/>
    <w:p>
      <w:r>
        <w:rPr>
          <w:rFonts w:ascii="PT Sans" w:hAnsi="PT Sans" w:eastAsia="PT Sans"/>
          <w:b w:val="0"/>
          <w:sz w:val="22"/>
        </w:rPr>
        <w:t>Наименование объекта: информационная система персональных данных ООО «Кибероснова» (далее — ИСПДн).</w:t>
      </w:r>
    </w:p>
    <w:p/>
    <w:p>
      <w:r>
        <w:rPr>
          <w:rFonts w:ascii="PT Sans" w:hAnsi="PT Sans" w:eastAsia="PT Sans"/>
          <w:b w:val="0"/>
          <w:sz w:val="22"/>
        </w:rPr>
        <w:t>Юридический адрес Заказчика: 109147, г. Москва, ул. Марксистская, д. 3, стр. 1.</w:t>
      </w:r>
    </w:p>
    <w:p/>
    <w:p>
      <w:r>
        <w:rPr>
          <w:rFonts w:ascii="PT Sans" w:hAnsi="PT Sans" w:eastAsia="PT Sans"/>
          <w:b w:val="0"/>
          <w:sz w:val="22"/>
        </w:rPr>
        <w:t>[NPA_REQUIRED] Основание разработки технического задания: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данных...», ст. 19 Федерального закона от 27.07.2006 № 152-ФЗ «О персональных данных», ГОСТ 34.602-2020.</w:t>
      </w:r>
    </w:p>
    <w:p/>
    <w:p>
      <w:r>
        <w:rPr>
          <w:rFonts w:ascii="PT Sans" w:hAnsi="PT Sans" w:eastAsia="PT Sans"/>
          <w:b w:val="0"/>
          <w:sz w:val="22"/>
        </w:rPr>
        <w:t>Ответственный исполнитель со стороны Заказчика: Петров Пётр Петрович, Специалист по защите информации.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2. Назначение и цели создания системы защиты</w:t>
      </w:r>
    </w:p>
    <w:p/>
    <w:p>
      <w:r>
        <w:rPr>
          <w:rFonts w:ascii="PT Sans" w:hAnsi="PT Sans" w:eastAsia="PT Sans"/>
          <w:b w:val="0"/>
          <w:sz w:val="22"/>
        </w:rPr>
        <w:t>Цель создания системы защиты информации (далее — СЗИ): обеспечение безопасности персональных данных, обрабатываемых в ИСПДн ООО «Кибероснова», в соответствии с установленным уровнем защищённости.</w:t>
      </w:r>
    </w:p>
    <w:p/>
    <w:p>
      <w:r>
        <w:rPr>
          <w:rFonts w:ascii="PT Sans" w:hAnsi="PT Sans" w:eastAsia="PT Sans"/>
          <w:b w:val="0"/>
          <w:sz w:val="22"/>
        </w:rPr>
        <w:t>[NPA_REQUIRED] Установленный уровень защищённости ИСПДн: **УЗ-3** (на основании оценки, проведённой в соответствии с Постановлением Правительства РФ от 01.11.2012 № 1119).</w:t>
      </w:r>
    </w:p>
    <w:p/>
    <w:p>
      <w:r>
        <w:rPr>
          <w:rFonts w:ascii="PT Sans" w:hAnsi="PT Sans" w:eastAsia="PT Sans"/>
          <w:b w:val="0"/>
          <w:sz w:val="22"/>
        </w:rPr>
        <w:t>Задачи СЗИ:</w:t>
      </w:r>
    </w:p>
    <w:p>
      <w:pPr>
        <w:pStyle w:val="ListBullet"/>
      </w:pPr>
      <w:r>
        <w:rPr>
          <w:rFonts w:ascii="PT Sans" w:hAnsi="PT Sans"/>
          <w:sz w:val="22"/>
        </w:rPr>
        <w:t>предотвращение несанкционированного доступа к персональным данным;</w:t>
      </w:r>
    </w:p>
    <w:p>
      <w:pPr>
        <w:pStyle w:val="ListBullet"/>
      </w:pPr>
      <w:r>
        <w:rPr>
          <w:rFonts w:ascii="PT Sans" w:hAnsi="PT Sans"/>
          <w:sz w:val="22"/>
        </w:rPr>
        <w:t>обеспечение целостности обрабатываемых данных;</w:t>
      </w:r>
    </w:p>
    <w:p>
      <w:pPr>
        <w:pStyle w:val="ListBullet"/>
      </w:pPr>
      <w:r>
        <w:rPr>
          <w:rFonts w:ascii="PT Sans" w:hAnsi="PT Sans"/>
          <w:sz w:val="22"/>
        </w:rPr>
        <w:t>обеспечение доступности информации для авторизованных пользователей;</w:t>
      </w:r>
    </w:p>
    <w:p>
      <w:pPr>
        <w:pStyle w:val="ListBullet"/>
      </w:pPr>
      <w:r>
        <w:rPr>
          <w:rFonts w:ascii="PT Sans" w:hAnsi="PT Sans"/>
          <w:sz w:val="22"/>
        </w:rPr>
        <w:t>регистрация и учёт событий безопасности;</w:t>
      </w:r>
    </w:p>
    <w:p>
      <w:pPr>
        <w:pStyle w:val="ListBullet"/>
      </w:pPr>
      <w:r>
        <w:rPr>
          <w:rFonts w:ascii="PT Sans" w:hAnsi="PT Sans"/>
          <w:sz w:val="22"/>
        </w:rPr>
        <w:t>защита от вредоносного программного обеспечения.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3. Характеристика объекта защиты</w:t>
      </w:r>
    </w:p>
    <w:p/>
    <w:p>
      <w:pPr>
        <w:pStyle w:val="Heading3"/>
      </w:pPr>
      <w:r>
        <w:t>3.1. Состав ИСПДн</w:t>
      </w:r>
    </w:p>
    <w:p/>
    <w:p>
      <w:r>
        <w:rPr>
          <w:rFonts w:ascii="PT Sans" w:hAnsi="PT Sans" w:eastAsia="PT Sans"/>
          <w:b w:val="0"/>
          <w:sz w:val="22"/>
        </w:rPr>
        <w:t>В состав ИСПДн входят:</w:t>
      </w:r>
    </w:p>
    <w:p>
      <w:pPr>
        <w:pStyle w:val="ListBullet"/>
      </w:pPr>
      <w:r>
        <w:rPr>
          <w:rFonts w:ascii="PT Sans" w:hAnsi="PT Sans"/>
          <w:sz w:val="22"/>
        </w:rPr>
        <w:t>серверы баз данных (СУБД с персональными данными);</w:t>
      </w:r>
    </w:p>
    <w:p>
      <w:pPr>
        <w:pStyle w:val="ListBullet"/>
      </w:pPr>
      <w:r>
        <w:rPr>
          <w:rFonts w:ascii="PT Sans" w:hAnsi="PT Sans"/>
          <w:sz w:val="22"/>
        </w:rPr>
        <w:t>автоматизированные рабочие места операторов ПДн;</w:t>
      </w:r>
    </w:p>
    <w:p>
      <w:pPr>
        <w:pStyle w:val="ListBullet"/>
      </w:pPr>
      <w:r>
        <w:rPr>
          <w:rFonts w:ascii="PT Sans" w:hAnsi="PT Sans"/>
          <w:sz w:val="22"/>
        </w:rPr>
        <w:t>сетевое оборудование (коммутаторы, маршрутизаторы, межсетевые экраны);</w:t>
      </w:r>
    </w:p>
    <w:p>
      <w:pPr>
        <w:pStyle w:val="ListBullet"/>
      </w:pPr>
      <w:r>
        <w:rPr>
          <w:rFonts w:ascii="PT Sans" w:hAnsi="PT Sans"/>
          <w:sz w:val="22"/>
        </w:rPr>
        <w:t>каналы передачи данных (локальная сеть Организации, защищённые интернет-соединения);</w:t>
      </w:r>
    </w:p>
    <w:p>
      <w:pPr>
        <w:pStyle w:val="ListBullet"/>
      </w:pPr>
      <w:r>
        <w:rPr>
          <w:rFonts w:ascii="PT Sans" w:hAnsi="PT Sans"/>
          <w:sz w:val="22"/>
        </w:rPr>
        <w:t>программное обеспечение (операционные системы, СУБД, прикладное ПО).</w:t>
      </w:r>
    </w:p>
    <w:p/>
    <w:p>
      <w:pPr>
        <w:pStyle w:val="Heading3"/>
      </w:pPr>
      <w:r>
        <w:t>3.2. Категории обрабатываемых персональных данных</w:t>
      </w:r>
    </w:p>
    <w:p/>
    <w:p>
      <w:r>
        <w:rPr>
          <w:rFonts w:ascii="PT Sans" w:hAnsi="PT Sans" w:eastAsia="PT Sans"/>
          <w:b w:val="0"/>
          <w:sz w:val="22"/>
        </w:rPr>
        <w:t>В ИСПДн обрабатываются:</w:t>
      </w:r>
    </w:p>
    <w:p>
      <w:pPr>
        <w:pStyle w:val="ListBullet"/>
      </w:pPr>
      <w:r>
        <w:rPr>
          <w:rFonts w:ascii="PT Sans" w:hAnsi="PT Sans"/>
          <w:sz w:val="22"/>
        </w:rPr>
        <w:t>иные персональные данные (ФИО, дата рождения, паспортные данные, ИНН, СНИЛС, адрес, контактные данные, сведения о трудовой деятельности).</w:t>
      </w:r>
    </w:p>
    <w:p/>
    <w:p>
      <w:pPr>
        <w:pStyle w:val="Heading3"/>
      </w:pPr>
      <w:r>
        <w:t>3.3. Количество субъектов ПДн</w:t>
      </w:r>
    </w:p>
    <w:p/>
    <w:p>
      <w:r>
        <w:rPr>
          <w:rFonts w:ascii="PT Sans" w:hAnsi="PT Sans" w:eastAsia="PT Sans"/>
          <w:b w:val="0"/>
          <w:sz w:val="22"/>
        </w:rPr>
        <w:t>Количество субъектов ПДн, данные которых обрабатываются: менее 100 000 человек.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4. Требования к системе защиты информации</w:t>
      </w:r>
    </w:p>
    <w:p/>
    <w:p>
      <w:pPr>
        <w:pStyle w:val="Heading3"/>
      </w:pPr>
      <w:r>
        <w:t>4.1. Требования к составу мер защиты</w:t>
      </w:r>
    </w:p>
    <w:p/>
    <w:p>
      <w:r>
        <w:rPr>
          <w:rFonts w:ascii="PT Sans" w:hAnsi="PT Sans" w:eastAsia="PT Sans"/>
          <w:b w:val="0"/>
          <w:sz w:val="22"/>
        </w:rPr>
        <w:t>[NPA_REQUIRED] Состав мер защиты информации определяется в соответствии с Приказом ФСТЭК России № 21 применительно к уровню защищённости УЗ-3. Обязательны следующие категории мер:</w:t>
      </w:r>
    </w:p>
    <w:p/>
    <w:p>
      <w:r>
        <w:rPr>
          <w:rFonts w:ascii="PT Sans" w:hAnsi="PT Sans" w:eastAsia="PT Sans"/>
          <w:b/>
          <w:sz w:val="22"/>
        </w:rPr>
        <w:t>ИАФ — Идентификация и аутентификация субъектов доступа:</w:t>
      </w:r>
    </w:p>
    <w:p>
      <w:pPr>
        <w:pStyle w:val="ListBullet"/>
      </w:pPr>
      <w:r>
        <w:rPr>
          <w:rFonts w:ascii="PT Sans" w:hAnsi="PT Sans"/>
          <w:sz w:val="22"/>
        </w:rPr>
        <w:t>идентификация и аутентификация пользователей (ИАФ.1);</w:t>
      </w:r>
    </w:p>
    <w:p>
      <w:pPr>
        <w:pStyle w:val="ListBullet"/>
      </w:pPr>
      <w:r>
        <w:rPr>
          <w:rFonts w:ascii="PT Sans" w:hAnsi="PT Sans"/>
          <w:sz w:val="22"/>
        </w:rPr>
        <w:t>управление идентификаторами (ИАФ.3);</w:t>
      </w:r>
    </w:p>
    <w:p>
      <w:pPr>
        <w:pStyle w:val="ListBullet"/>
      </w:pPr>
      <w:r>
        <w:rPr>
          <w:rFonts w:ascii="PT Sans" w:hAnsi="PT Sans"/>
          <w:sz w:val="22"/>
        </w:rPr>
        <w:t>управление аутентификаторами (ИАФ.4).</w:t>
      </w:r>
    </w:p>
    <w:p/>
    <w:p>
      <w:r>
        <w:rPr>
          <w:rFonts w:ascii="PT Sans" w:hAnsi="PT Sans" w:eastAsia="PT Sans"/>
          <w:b/>
          <w:sz w:val="22"/>
        </w:rPr>
        <w:t>УПД — Управление доступом субъектов доступа:</w:t>
      </w:r>
    </w:p>
    <w:p>
      <w:pPr>
        <w:pStyle w:val="ListBullet"/>
      </w:pPr>
      <w:r>
        <w:rPr>
          <w:rFonts w:ascii="PT Sans" w:hAnsi="PT Sans"/>
          <w:sz w:val="22"/>
        </w:rPr>
        <w:t>управление учётными записями (УПД.1);</w:t>
      </w:r>
    </w:p>
    <w:p>
      <w:pPr>
        <w:pStyle w:val="ListBullet"/>
      </w:pPr>
      <w:r>
        <w:rPr>
          <w:rFonts w:ascii="PT Sans" w:hAnsi="PT Sans"/>
          <w:sz w:val="22"/>
        </w:rPr>
        <w:t>реализация необходимых методов управления доступом (УПД.2);</w:t>
      </w:r>
    </w:p>
    <w:p>
      <w:pPr>
        <w:pStyle w:val="ListBullet"/>
      </w:pPr>
      <w:r>
        <w:rPr>
          <w:rFonts w:ascii="PT Sans" w:hAnsi="PT Sans"/>
          <w:sz w:val="22"/>
        </w:rPr>
        <w:t>разделение полномочий (ролей) пользователей (УПД.4);</w:t>
      </w:r>
    </w:p>
    <w:p>
      <w:pPr>
        <w:pStyle w:val="ListBullet"/>
      </w:pPr>
      <w:r>
        <w:rPr>
          <w:rFonts w:ascii="PT Sans" w:hAnsi="PT Sans"/>
          <w:sz w:val="22"/>
        </w:rPr>
        <w:t>назначение минимальных необходимых прав (УПД.5).</w:t>
      </w:r>
    </w:p>
    <w:p/>
    <w:p>
      <w:r>
        <w:rPr>
          <w:rFonts w:ascii="PT Sans" w:hAnsi="PT Sans" w:eastAsia="PT Sans"/>
          <w:b/>
          <w:sz w:val="22"/>
        </w:rPr>
        <w:t>РСБ — Регистрация событий безопасности:</w:t>
      </w:r>
    </w:p>
    <w:p>
      <w:pPr>
        <w:pStyle w:val="ListBullet"/>
      </w:pPr>
      <w:r>
        <w:rPr>
          <w:rFonts w:ascii="PT Sans" w:hAnsi="PT Sans"/>
          <w:sz w:val="22"/>
        </w:rPr>
        <w:t>определение событий, регистрируемых в журналах (РСБ.1);</w:t>
      </w:r>
    </w:p>
    <w:p>
      <w:pPr>
        <w:pStyle w:val="ListBullet"/>
      </w:pPr>
      <w:r>
        <w:rPr>
          <w:rFonts w:ascii="PT Sans" w:hAnsi="PT Sans"/>
          <w:sz w:val="22"/>
        </w:rPr>
        <w:t>регистрация событий безопасности (РСБ.2);</w:t>
      </w:r>
    </w:p>
    <w:p>
      <w:pPr>
        <w:pStyle w:val="ListBullet"/>
      </w:pPr>
      <w:r>
        <w:rPr>
          <w:rFonts w:ascii="PT Sans" w:hAnsi="PT Sans"/>
          <w:sz w:val="22"/>
        </w:rPr>
        <w:t>защита журналов от несанкционированного доступа (РСБ.7);</w:t>
      </w:r>
    </w:p>
    <w:p>
      <w:pPr>
        <w:pStyle w:val="ListBullet"/>
      </w:pPr>
      <w:r>
        <w:rPr>
          <w:rFonts w:ascii="PT Sans" w:hAnsi="PT Sans"/>
          <w:sz w:val="22"/>
        </w:rPr>
        <w:t>мониторинг и анализ журналов (РСБ.8).</w:t>
      </w:r>
    </w:p>
    <w:p/>
    <w:p>
      <w:r>
        <w:rPr>
          <w:rFonts w:ascii="PT Sans" w:hAnsi="PT Sans" w:eastAsia="PT Sans"/>
          <w:b/>
          <w:sz w:val="22"/>
        </w:rPr>
        <w:t>АВЗ — Защита от вредоносного кода:</w:t>
      </w:r>
    </w:p>
    <w:p>
      <w:pPr>
        <w:pStyle w:val="ListBullet"/>
      </w:pPr>
      <w:r>
        <w:rPr>
          <w:rFonts w:ascii="PT Sans" w:hAnsi="PT Sans"/>
          <w:sz w:val="22"/>
        </w:rPr>
        <w:t>реализация антивирусной защиты (АВЗ.1);</w:t>
      </w:r>
    </w:p>
    <w:p>
      <w:pPr>
        <w:pStyle w:val="ListBullet"/>
      </w:pPr>
      <w:r>
        <w:rPr>
          <w:rFonts w:ascii="PT Sans" w:hAnsi="PT Sans"/>
          <w:sz w:val="22"/>
        </w:rPr>
        <w:t>обновление баз данных признаков вредоносного кода (АВЗ.2).</w:t>
      </w:r>
    </w:p>
    <w:p/>
    <w:p>
      <w:r>
        <w:rPr>
          <w:rFonts w:ascii="PT Sans" w:hAnsi="PT Sans" w:eastAsia="PT Sans"/>
          <w:b/>
          <w:sz w:val="22"/>
        </w:rPr>
        <w:t>ОЦЛ — Обеспечение целостности:</w:t>
      </w:r>
    </w:p>
    <w:p>
      <w:pPr>
        <w:pStyle w:val="ListBullet"/>
      </w:pPr>
      <w:r>
        <w:rPr>
          <w:rFonts w:ascii="PT Sans" w:hAnsi="PT Sans"/>
          <w:sz w:val="22"/>
        </w:rPr>
        <w:t>контроль целостности программного обеспечения (ОЦЛ.1).</w:t>
      </w:r>
    </w:p>
    <w:p/>
    <w:p>
      <w:r>
        <w:rPr>
          <w:rFonts w:ascii="PT Sans" w:hAnsi="PT Sans" w:eastAsia="PT Sans"/>
          <w:b/>
          <w:sz w:val="22"/>
        </w:rPr>
        <w:t>ОДТ — Обеспечение доступности:</w:t>
      </w:r>
    </w:p>
    <w:p>
      <w:pPr>
        <w:pStyle w:val="ListBullet"/>
      </w:pPr>
      <w:r>
        <w:rPr>
          <w:rFonts w:ascii="PT Sans" w:hAnsi="PT Sans"/>
          <w:sz w:val="22"/>
        </w:rPr>
        <w:t>использование отказоустойчивых технических средств (ОДТ.1);</w:t>
      </w:r>
    </w:p>
    <w:p>
      <w:pPr>
        <w:pStyle w:val="ListBullet"/>
      </w:pPr>
      <w:r>
        <w:rPr>
          <w:rFonts w:ascii="PT Sans" w:hAnsi="PT Sans"/>
          <w:sz w:val="22"/>
        </w:rPr>
        <w:t>резервное копирование информации (ОДТ.3).</w:t>
      </w:r>
    </w:p>
    <w:p/>
    <w:p>
      <w:r>
        <w:rPr>
          <w:rFonts w:ascii="PT Sans" w:hAnsi="PT Sans" w:eastAsia="PT Sans"/>
          <w:b/>
          <w:sz w:val="22"/>
        </w:rPr>
        <w:t>ЗИС — Защита информационной системы:</w:t>
      </w:r>
    </w:p>
    <w:p>
      <w:pPr>
        <w:pStyle w:val="ListBullet"/>
      </w:pPr>
      <w:r>
        <w:rPr>
          <w:rFonts w:ascii="PT Sans" w:hAnsi="PT Sans"/>
          <w:sz w:val="22"/>
        </w:rPr>
        <w:t>разделение в информационной системе функций по управлению (ЗИС.3).</w:t>
      </w:r>
    </w:p>
    <w:p/>
    <w:p>
      <w:pPr>
        <w:pStyle w:val="Heading3"/>
      </w:pPr>
      <w:r>
        <w:t>4.2. Требования к средствам защиты информации</w:t>
      </w:r>
    </w:p>
    <w:p/>
    <w:p>
      <w:r>
        <w:rPr>
          <w:rFonts w:ascii="PT Sans" w:hAnsi="PT Sans" w:eastAsia="PT Sans"/>
          <w:b w:val="0"/>
          <w:sz w:val="22"/>
        </w:rPr>
        <w:t>[NPA_REQUIRED] Применяемые средства защиты информации должны соответствовать требованиям ст. 19 ч. 3 Федерального закона № 152-ФЗ: средства защиты, прошедшие оценку соответствия (сертификация ФСТЭК России) или применяемые в порядке оценки соответствия согласно требованиям законодательства.</w:t>
      </w:r>
    </w:p>
    <w:p/>
    <w:p>
      <w:r>
        <w:rPr>
          <w:rFonts w:ascii="PT Sans" w:hAnsi="PT Sans" w:eastAsia="PT Sans"/>
          <w:b w:val="0"/>
          <w:sz w:val="22"/>
        </w:rPr>
        <w:t>Требования к сертификации:</w:t>
      </w:r>
    </w:p>
    <w:p>
      <w:pPr>
        <w:pStyle w:val="ListBullet"/>
      </w:pPr>
      <w:r>
        <w:rPr>
          <w:rFonts w:ascii="PT Sans" w:hAnsi="PT Sans"/>
          <w:sz w:val="22"/>
        </w:rPr>
        <w:t>средства антивирусной защиты: класс АВ не ниже АВ5;</w:t>
      </w:r>
    </w:p>
    <w:p>
      <w:pPr>
        <w:pStyle w:val="ListBullet"/>
      </w:pPr>
      <w:r>
        <w:rPr>
          <w:rFonts w:ascii="PT Sans" w:hAnsi="PT Sans"/>
          <w:sz w:val="22"/>
        </w:rPr>
        <w:t>средства доверенной загрузки: класс СДЗ не ниже 5;</w:t>
      </w:r>
    </w:p>
    <w:p>
      <w:pPr>
        <w:pStyle w:val="ListBullet"/>
      </w:pPr>
      <w:r>
        <w:rPr>
          <w:rFonts w:ascii="PT Sans" w:hAnsi="PT Sans"/>
          <w:sz w:val="22"/>
        </w:rPr>
        <w:t>межсетевые экраны (при наличии подключения к интернет): класс МЭ не ниже 5;</w:t>
      </w:r>
    </w:p>
    <w:p>
      <w:pPr>
        <w:pStyle w:val="ListBullet"/>
      </w:pPr>
      <w:r>
        <w:rPr>
          <w:rFonts w:ascii="PT Sans" w:hAnsi="PT Sans"/>
          <w:sz w:val="22"/>
        </w:rPr>
        <w:t>системы обнаружения вторжений (при наличии): класс СОВ не ниже 5.</w:t>
      </w:r>
    </w:p>
    <w:p/>
    <w:p>
      <w:pPr>
        <w:pStyle w:val="Heading3"/>
      </w:pPr>
      <w:r>
        <w:t>4.3. Требования к средствам криптографической защиты информации</w:t>
      </w:r>
    </w:p>
    <w:p/>
    <w:p>
      <w:r>
        <w:rPr>
          <w:rFonts w:ascii="PT Sans" w:hAnsi="PT Sans" w:eastAsia="PT Sans"/>
          <w:b w:val="0"/>
          <w:sz w:val="22"/>
        </w:rPr>
        <w:t>При передаче ПДн по общедоступным каналам связи использовать СКЗИ класса не ниже КС1, сертифицированные ФСБ России.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5. Требования к документации</w:t>
      </w:r>
    </w:p>
    <w:p/>
    <w:p>
      <w:r>
        <w:rPr>
          <w:rFonts w:ascii="PT Sans" w:hAnsi="PT Sans" w:eastAsia="PT Sans"/>
          <w:b w:val="0"/>
          <w:sz w:val="22"/>
        </w:rPr>
        <w:t>[NPA_REQUIRED] По результатам создания СЗИ должны быть разработаны следующие документы в соответствии с Приказом ФСТЭК России № 21:</w:t>
      </w:r>
    </w:p>
    <w:p>
      <w:pPr>
        <w:pStyle w:val="ListBullet"/>
      </w:pPr>
      <w:r>
        <w:rPr>
          <w:rFonts w:ascii="PT Sans" w:hAnsi="PT Sans"/>
          <w:sz w:val="22"/>
        </w:rPr>
        <w:t>модель угроз безопасности персональных данных;</w:t>
      </w:r>
    </w:p>
    <w:p>
      <w:pPr>
        <w:pStyle w:val="ListBullet"/>
      </w:pPr>
      <w:r>
        <w:rPr>
          <w:rFonts w:ascii="PT Sans" w:hAnsi="PT Sans"/>
          <w:sz w:val="22"/>
        </w:rPr>
        <w:t>технический проект системы защиты информации;</w:t>
      </w:r>
    </w:p>
    <w:p>
      <w:pPr>
        <w:pStyle w:val="ListBullet"/>
      </w:pPr>
      <w:r>
        <w:rPr>
          <w:rFonts w:ascii="PT Sans" w:hAnsi="PT Sans"/>
          <w:sz w:val="22"/>
        </w:rPr>
        <w:t>программа и методика испытаний системы защиты информации;</w:t>
      </w:r>
    </w:p>
    <w:p>
      <w:pPr>
        <w:pStyle w:val="ListBullet"/>
      </w:pPr>
      <w:r>
        <w:rPr>
          <w:rFonts w:ascii="PT Sans" w:hAnsi="PT Sans"/>
          <w:sz w:val="22"/>
        </w:rPr>
        <w:t>инструкции для пользователей ИСПДн;</w:t>
      </w:r>
    </w:p>
    <w:p>
      <w:pPr>
        <w:pStyle w:val="ListBullet"/>
      </w:pPr>
      <w:r>
        <w:rPr>
          <w:rFonts w:ascii="PT Sans" w:hAnsi="PT Sans"/>
          <w:sz w:val="22"/>
        </w:rPr>
        <w:t>приказ о вводе СЗИ в эксплуатацию.</w:t>
      </w:r>
    </w:p>
    <w:p/>
    <w:p>
      <w:r>
        <w:rPr>
          <w:rFonts w:ascii="PT Sans" w:hAnsi="PT Sans" w:eastAsia="PT Sans"/>
          <w:b w:val="0"/>
          <w:sz w:val="22"/>
        </w:rPr>
        <w:t>Документация разрабатывается на русском языке, оформляется в соответствии с требованиями ГОСТ 34.201-2020.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6. Требования к испытаниям и вводу в эксплуатацию</w:t>
      </w:r>
    </w:p>
    <w:p/>
    <w:p>
      <w:pPr>
        <w:pStyle w:val="Heading3"/>
      </w:pPr>
      <w:r>
        <w:t>6.1. Испытания системы защиты</w:t>
      </w:r>
    </w:p>
    <w:p/>
    <w:p>
      <w:r>
        <w:rPr>
          <w:rFonts w:ascii="PT Sans" w:hAnsi="PT Sans" w:eastAsia="PT Sans"/>
          <w:b w:val="0"/>
          <w:sz w:val="22"/>
        </w:rPr>
        <w:t>[NPA_REQUIRED] Ввод СЗИ в эксплуатацию осуществляется после проведения испытаний и подтверждения работоспособности в соответствии с Приказом ФСТЭК России № 21.</w:t>
      </w:r>
    </w:p>
    <w:p/>
    <w:p>
      <w:r>
        <w:rPr>
          <w:rFonts w:ascii="PT Sans" w:hAnsi="PT Sans" w:eastAsia="PT Sans"/>
          <w:b w:val="0"/>
          <w:sz w:val="22"/>
        </w:rPr>
        <w:t>В ходе испытаний проверяется:</w:t>
      </w:r>
    </w:p>
    <w:p>
      <w:pPr>
        <w:pStyle w:val="ListBullet"/>
      </w:pPr>
      <w:r>
        <w:rPr>
          <w:rFonts w:ascii="PT Sans" w:hAnsi="PT Sans"/>
          <w:sz w:val="22"/>
        </w:rPr>
        <w:t>функционирование всех применяемых мер защиты;</w:t>
      </w:r>
    </w:p>
    <w:p>
      <w:pPr>
        <w:pStyle w:val="ListBullet"/>
      </w:pPr>
      <w:r>
        <w:rPr>
          <w:rFonts w:ascii="PT Sans" w:hAnsi="PT Sans"/>
          <w:sz w:val="22"/>
        </w:rPr>
        <w:t>отсутствие уязвимостей в конфигурации СЗИ;</w:t>
      </w:r>
    </w:p>
    <w:p>
      <w:pPr>
        <w:pStyle w:val="ListBullet"/>
      </w:pPr>
      <w:r>
        <w:rPr>
          <w:rFonts w:ascii="PT Sans" w:hAnsi="PT Sans"/>
          <w:sz w:val="22"/>
        </w:rPr>
        <w:t>соответствие журналов событий требованиям к регистрации.</w:t>
      </w:r>
    </w:p>
    <w:p/>
    <w:p>
      <w:pPr>
        <w:pStyle w:val="Heading3"/>
      </w:pPr>
      <w:r>
        <w:t>6.2. Аттестация или оценка эффективности</w:t>
      </w:r>
    </w:p>
    <w:p/>
    <w:p>
      <w:r>
        <w:rPr>
          <w:rFonts w:ascii="PT Sans" w:hAnsi="PT Sans" w:eastAsia="PT Sans"/>
          <w:b w:val="0"/>
          <w:sz w:val="22"/>
        </w:rPr>
        <w:t>[NPA_REQUIRED] По завершении испытаний проводится оценка эффективности системы защиты (п. 17 Приказа ФСТЭК России № 21) или аттестация по требованию законодательства.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7. Требования к поддержанию защищённости в процессе эксплуатации</w:t>
      </w:r>
    </w:p>
    <w:p/>
    <w:p>
      <w:r>
        <w:rPr>
          <w:rFonts w:ascii="PT Sans" w:hAnsi="PT Sans" w:eastAsia="PT Sans"/>
          <w:b w:val="0"/>
          <w:sz w:val="22"/>
        </w:rPr>
        <w:t>[NPA_REQUIRED] В ходе эксплуатации ИСПДн выполняются мероприятия по поддержанию на надлежащем уровне защищённости (п. 18 Приказа ФСТЭК России № 21):</w:t>
      </w:r>
    </w:p>
    <w:p/>
    <w:p>
      <w:r>
        <w:rPr>
          <w:rFonts w:ascii="PT Sans" w:hAnsi="PT Sans" w:eastAsia="PT Sans"/>
          <w:b w:val="0"/>
          <w:sz w:val="22"/>
        </w:rPr>
        <w:t>Периодические мероприятия:</w:t>
      </w:r>
    </w:p>
    <w:p>
      <w:pPr>
        <w:pStyle w:val="ListBullet"/>
      </w:pPr>
      <w:r>
        <w:rPr>
          <w:rFonts w:ascii="PT Sans" w:hAnsi="PT Sans"/>
          <w:sz w:val="22"/>
        </w:rPr>
        <w:t>контроль (мониторинг) соответствия СЗИ установленным требованиям — не реже 1 раза в год;</w:t>
      </w:r>
    </w:p>
    <w:p>
      <w:pPr>
        <w:pStyle w:val="ListBullet"/>
      </w:pPr>
      <w:r>
        <w:rPr>
          <w:rFonts w:ascii="PT Sans" w:hAnsi="PT Sans"/>
          <w:sz w:val="22"/>
        </w:rPr>
        <w:t>обновление программного обеспечения СЗИ по мере выхода обновлений безопасности;</w:t>
      </w:r>
    </w:p>
    <w:p>
      <w:pPr>
        <w:pStyle w:val="ListBullet"/>
      </w:pPr>
      <w:r>
        <w:rPr>
          <w:rFonts w:ascii="PT Sans" w:hAnsi="PT Sans"/>
          <w:sz w:val="22"/>
        </w:rPr>
        <w:t>анализ уязвимостей ИСПДн — не реже 1 раза в год или при изменении состава технических средств;</w:t>
      </w:r>
    </w:p>
    <w:p>
      <w:pPr>
        <w:pStyle w:val="ListBullet"/>
      </w:pPr>
      <w:r>
        <w:rPr>
          <w:rFonts w:ascii="PT Sans" w:hAnsi="PT Sans"/>
          <w:sz w:val="22"/>
        </w:rPr>
        <w:t>пересмотр модели угроз — не реже 1 раза в 3 года или при изменении условий обработки.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8. Порядок разработки и согласования</w:t>
      </w:r>
    </w:p>
    <w:p/>
    <w:p>
      <w:r>
        <w:rPr>
          <w:rFonts w:ascii="PT Sans" w:hAnsi="PT Sans" w:eastAsia="PT Sans"/>
          <w:b w:val="0"/>
          <w:sz w:val="22"/>
        </w:rPr>
        <w:t>Настоящее Техническое задание утверждается руководителем Организации. Изменения вносятся по согласованию с Специалист по защите информации.</w:t>
      </w:r>
    </w:p>
    <w:p/>
    <w:p>
      <w:r>
        <w:rPr>
          <w:rFonts w:ascii="PT Sans" w:hAnsi="PT Sans" w:eastAsia="PT Sans"/>
          <w:b w:val="0"/>
          <w:sz w:val="22"/>
        </w:rPr>
        <w:t>Документ разработан в соответствии с ГОСТ 34.602-2020 «Информационные технологии. Комплекс стандартов на автоматизированные системы. Техническое задание на создание автоматизированной системы».</w:t>
      </w:r>
    </w:p>
    <w:p/>
    <w:p>
      <w:r>
        <w:rPr>
          <w:rFonts w:ascii="PT Sans" w:hAnsi="PT Sans" w:eastAsia="PT Sans"/>
          <w:b w:val="0"/>
          <w:sz w:val="22"/>
        </w:rPr>
        <w:t>Разработал: Петров Пётр Петрович, Специалист по защите информации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{document_title}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T Sans" w:hAnsi="PT Sans" w:eastAsia="PT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