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4035b9a542332df3009dd40634a16b5eec58f8"/>
    <w:p>
      <w:pPr>
        <w:pStyle w:val="Heading1"/>
        <w:jc w:val="center"/>
      </w:pPr>
      <w:r>
        <w:rPr>
          <w:color w:val="000000"/>
        </w:rPr>
        <w:t xml:space="preserve">Регламент уничтожения персональных данных</w:t>
      </w:r>
    </w:p>
    <w:bookmarkStart w:id="20" w:name="раздел-1--общие-положения"/>
    <w:p>
      <w:pPr>
        <w:pStyle w:val="Heading2"/>
        <w:jc w:val="left"/>
      </w:pPr>
      <w:r>
        <w:rPr>
          <w:color w:val="000000"/>
        </w:rPr>
        <w:t xml:space="preserve">Раздел 1 — Общие положения</w:t>
      </w:r>
    </w:p>
    <w:p>
      <w:pPr>
        <w:pStyle w:val="FirstParagraph"/>
        <w:jc w:val="both"/>
      </w:pPr>
      <w:r>
        <w:t xml:space="preserve">Настоящий Регламент уничтожения персональных данных (далее — Регламент) разработан в соответствии с Федеральным законом от 27.07.2006 № 152-ФЗ «О персональных данных» и устанавливает для</w:t>
      </w:r>
      <w:r>
        <w:t xml:space="preserve"> </w:t>
      </w:r>
      <w:r>
        <w:rPr>
          <w:shd w:val="clear" w:color="auto" w:fill="C6EFCE"/>
        </w:rPr>
        <w:t xml:space="preserve">Общество с ограниченной ответственностью «Ромашка»</w:t>
      </w:r>
      <w:r>
        <w:t xml:space="preserve"> </w:t>
      </w:r>
      <w:r>
        <w:t xml:space="preserve">(далее — Оператор) единый порядок уничтожения персональных данных субъектов, находящихся в обработке Оператора.</w:t>
      </w:r>
    </w:p>
    <w:p>
      <w:pPr>
        <w:pStyle w:val="BodyText"/>
        <w:jc w:val="both"/>
      </w:pPr>
      <w:r>
        <w:t xml:space="preserve">Под уничтожением персональных данных в настоящем Регламенте понимаются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материальные носители персональных данных приходят в состояние, не допускающее дальнейшее их использование.</w:t>
      </w:r>
    </w:p>
    <w:p>
      <w:pPr>
        <w:pStyle w:val="BodyText"/>
        <w:jc w:val="both"/>
      </w:pPr>
      <w:r>
        <w:t xml:space="preserve">Регламент распространяется на все структурные подразделения Оператора, осуществляющие обработку персональных данных на бумажных и электронных носителях, а также в информационных системах персональных данных (ИСПДн).</w:t>
      </w:r>
    </w:p>
    <w:bookmarkEnd w:id="20"/>
    <w:bookmarkStart w:id="21" w:name="X93f40a22e8e5775ca14e705c419d8aa5cbb6beb"/>
    <w:p>
      <w:pPr>
        <w:pStyle w:val="Heading2"/>
        <w:jc w:val="left"/>
      </w:pPr>
      <w:r>
        <w:rPr>
          <w:color w:val="000000"/>
        </w:rPr>
        <w:t xml:space="preserve">Раздел 2 — Основания для уничтожения персональных данных</w:t>
      </w:r>
    </w:p>
    <w:p>
      <w:pPr>
        <w:pStyle w:val="FirstParagraph"/>
        <w:jc w:val="both"/>
      </w:pPr>
      <w:r>
        <w:t xml:space="preserve">Уничтожение персональных данных проводится при наступлении любого из следующих оснований:</w:t>
      </w:r>
    </w:p>
    <w:p>
      <w:pPr>
        <w:pStyle w:val="BodyText"/>
        <w:jc w:val="both"/>
      </w:pPr>
      <w:r>
        <w:rPr>
          <w:b/>
          <w:bCs/>
        </w:rPr>
        <w:t xml:space="preserve">2.1. Достижение цели обработки или утрата необходимости в её достижении.</w:t>
      </w:r>
      <w:r>
        <w:t xml:space="preserve"> </w:t>
      </w:r>
      <w:r>
        <w:t xml:space="preserve">Оператор прекращает обработку персональных данных и инициирует процедуру уничтожения, если первоначальная цель, для которой персональные данные собирались, достигнута или утратила актуальность до истечения установленного срока хранения.</w:t>
      </w:r>
    </w:p>
    <w:p>
      <w:pPr>
        <w:pStyle w:val="BodyText"/>
        <w:jc w:val="both"/>
      </w:pPr>
      <w:r>
        <w:rPr>
          <w:b/>
          <w:bCs/>
        </w:rPr>
        <w:t xml:space="preserve">2.2. Отзыв субъектом персональных данных согласия на обработку.</w:t>
      </w:r>
    </w:p>
    <w:p>
      <w:pPr>
        <w:pStyle w:val="BodyText"/>
        <w:jc w:val="both"/>
      </w:pPr>
      <w:r>
        <w:t xml:space="preserve">В случае отзыва субъектом персональных данных согласия на обработку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в срок, не превышающий тридцати дней с даты поступления указанного отзыва (статья 21 часть 5 Федерального закона от 27.07.2006 № 152-ФЗ).</w:t>
      </w:r>
    </w:p>
    <w:p>
      <w:pPr>
        <w:pStyle w:val="BodyText"/>
        <w:jc w:val="both"/>
      </w:pPr>
      <w:r>
        <w:rPr>
          <w:b/>
          <w:bCs/>
        </w:rPr>
        <w:t xml:space="preserve">2.3. Истечение установленного срока хранения персональных данных.</w:t>
      </w:r>
      <w:r>
        <w:t xml:space="preserve"> </w:t>
      </w:r>
      <w:r>
        <w:t xml:space="preserve">По окончании срока хранения, определённого Положением об обработке персональных данных Оператора, соответствующим приказом или договором с субъектом, персональные данные подлежат уничтожению.</w:t>
      </w:r>
    </w:p>
    <w:p>
      <w:pPr>
        <w:pStyle w:val="BodyText"/>
        <w:jc w:val="both"/>
      </w:pPr>
      <w:r>
        <w:rPr>
          <w:b/>
          <w:bCs/>
        </w:rPr>
        <w:t xml:space="preserve">2.4. Требование субъекта персональных данных об уничтожении.</w:t>
      </w:r>
    </w:p>
    <w:p>
      <w:pPr>
        <w:pStyle w:val="BodyText"/>
        <w:jc w:val="both"/>
      </w:pPr>
      <w:r>
        <w:t xml:space="preserve">При обращении субъекта персональных данных с требованием об уничтожении его персональных данных как незаконно полученных или не являющихся необходимыми для заявленной цели обработки Оператор обязан уничтожить персональные данные в срок, не превышающий</w:t>
      </w:r>
      <w:r>
        <w:t xml:space="preserve"> </w:t>
      </w:r>
      <w:r>
        <w:rPr>
          <w:b/>
          <w:bCs/>
        </w:rPr>
        <w:t xml:space="preserve">семи рабочих дней</w:t>
      </w:r>
      <w:r>
        <w:t xml:space="preserve"> </w:t>
      </w:r>
      <w:r>
        <w:t xml:space="preserve">с даты поступления требования (статья 21 часть 1 Федерального закона от 27.07.2006 № 152-ФЗ).</w:t>
      </w:r>
    </w:p>
    <w:p>
      <w:pPr>
        <w:pStyle w:val="BodyText"/>
        <w:jc w:val="both"/>
      </w:pPr>
      <w:r>
        <w:rPr>
          <w:b/>
          <w:bCs/>
        </w:rPr>
        <w:t xml:space="preserve">2.5. Выявление неправомерной обработки персональных данных.</w:t>
      </w:r>
    </w:p>
    <w:p>
      <w:pPr>
        <w:pStyle w:val="BodyText"/>
        <w:jc w:val="both"/>
      </w:pPr>
      <w:r>
        <w:t xml:space="preserve">При выявлении факта неправомерной обработки персональных данных Оператор обязан в срок, не превышающий</w:t>
      </w:r>
      <w:r>
        <w:t xml:space="preserve"> </w:t>
      </w:r>
      <w:r>
        <w:rPr>
          <w:b/>
          <w:bCs/>
        </w:rPr>
        <w:t xml:space="preserve">трёх рабочих дней</w:t>
      </w:r>
      <w:r>
        <w:t xml:space="preserve"> </w:t>
      </w:r>
      <w:r>
        <w:t xml:space="preserve">с даты выявления, прекратить неправомерную обработку (блокировать ПДн). В случае если обеспечить правомерность обработки персональных данных не представляется возможным, Оператор обязан уничтожить такие персональные данные в срок, не превышающий</w:t>
      </w:r>
      <w:r>
        <w:t xml:space="preserve"> </w:t>
      </w:r>
      <w:r>
        <w:rPr>
          <w:b/>
          <w:bCs/>
        </w:rPr>
        <w:t xml:space="preserve">десяти рабочих дней</w:t>
      </w:r>
      <w:r>
        <w:t xml:space="preserve"> </w:t>
      </w:r>
      <w:r>
        <w:t xml:space="preserve">с даты выявления нарушения (статья 21 часть 1 Федерального закона от 27.07.2006 № 152-ФЗ).</w:t>
      </w:r>
    </w:p>
    <w:p>
      <w:pPr>
        <w:pStyle w:val="BodyText"/>
        <w:jc w:val="both"/>
      </w:pPr>
      <w:r>
        <w:t xml:space="preserve">Если уничтожение персональных данных в установленный срок объективно невозможно (например, резервные копии), Оператор обязан заблокировать персональные данные и обеспечить их уничтожение в срок, не превышающий шести месяцев (статья 21 часть 6 Федерального закона от 27.07.2006 № 152-ФЗ).</w:t>
      </w:r>
    </w:p>
    <w:p>
      <w:pPr>
        <w:pStyle w:val="BodyText"/>
        <w:jc w:val="both"/>
      </w:pPr>
      <w:r>
        <w:rPr>
          <w:b/>
          <w:bCs/>
        </w:rPr>
        <w:t xml:space="preserve">2.6. Требование Роскомнадзора.</w:t>
      </w:r>
      <w:r>
        <w:t xml:space="preserve"> </w:t>
      </w:r>
      <w:r>
        <w:t xml:space="preserve">Предписание Федеральной службы по надзору в сфере связи, информационных технологий и массовых коммуникаций (Роскомнадзор) об уничтожении персональных данных, обрабатываемых с нарушением законодательства Российской Федерации.</w:t>
      </w:r>
    </w:p>
    <w:bookmarkEnd w:id="21"/>
    <w:bookmarkStart w:id="25" w:name="X06eae816739da2c06737714de2a2c11faaa3533"/>
    <w:p>
      <w:pPr>
        <w:pStyle w:val="Heading2"/>
        <w:jc w:val="left"/>
      </w:pPr>
      <w:r>
        <w:rPr>
          <w:color w:val="000000"/>
        </w:rPr>
        <w:t xml:space="preserve">Раздел 3 — Порядок уничтожения персональных данных</w:t>
      </w:r>
    </w:p>
    <w:bookmarkStart w:id="22" w:name="Xd0a794867fc4d3bf678f73532265b496ca8504d"/>
    <w:p>
      <w:pPr>
        <w:pStyle w:val="Heading3"/>
        <w:jc w:val="left"/>
      </w:pPr>
      <w:r>
        <w:rPr>
          <w:color w:val="000000"/>
        </w:rPr>
        <w:t xml:space="preserve">3.1. Комиссия по уничтожению персональных данных</w:t>
      </w:r>
    </w:p>
    <w:p>
      <w:pPr>
        <w:pStyle w:val="FirstParagraph"/>
        <w:jc w:val="both"/>
      </w:pPr>
      <w:r>
        <w:t xml:space="preserve">Уничтожение персональных данных осуществляется Комиссией по уничтожению персональных данных (далее — Комиссия), состав которой утверждается приказом руководителя Оператора.</w:t>
      </w:r>
    </w:p>
    <w:p>
      <w:pPr>
        <w:pStyle w:val="BodyText"/>
        <w:jc w:val="both"/>
      </w:pPr>
      <w:r>
        <w:t xml:space="preserve">В состав Комиссии включаются:</w:t>
      </w:r>
    </w:p>
    <w:p>
      <w:pPr>
        <w:pStyle w:val="Compact"/>
        <w:numPr>
          <w:ilvl w:val="0"/>
          <w:numId w:val="1001"/>
        </w:numPr>
        <w:jc w:val="both"/>
      </w:pPr>
      <w:r>
        <w:t xml:space="preserve">председатель Комиссии —</w:t>
      </w:r>
      <w:r>
        <w:t xml:space="preserve"> </w:t>
      </w:r>
      <w:r>
        <w:rPr>
          <w:shd w:val="clear" w:color="auto" w:fill="C6EFCE"/>
        </w:rPr>
        <w:t xml:space="preserve">Сидорова Мария Сергеевна</w:t>
      </w:r>
      <w:r>
        <w:t xml:space="preserve"> </w:t>
      </w:r>
      <w:r>
        <w:t xml:space="preserve">(ответственный за организацию обработки ПДн);</w:t>
      </w:r>
    </w:p>
    <w:p>
      <w:pPr>
        <w:pStyle w:val="Compact"/>
        <w:numPr>
          <w:ilvl w:val="0"/>
          <w:numId w:val="1001"/>
        </w:numPr>
        <w:jc w:val="both"/>
      </w:pPr>
      <w:r>
        <w:t xml:space="preserve">представитель структурного подразделения, в котором хранятся уничтожаемые данные;</w:t>
      </w:r>
    </w:p>
    <w:p>
      <w:pPr>
        <w:pStyle w:val="Compact"/>
        <w:numPr>
          <w:ilvl w:val="0"/>
          <w:numId w:val="1001"/>
        </w:numPr>
        <w:jc w:val="both"/>
      </w:pPr>
      <w:r>
        <w:t xml:space="preserve">представитель службы информационной безопасности (или ИТ-отдела).</w:t>
      </w:r>
    </w:p>
    <w:bookmarkEnd w:id="22"/>
    <w:bookmarkStart w:id="23" w:name="X8f3299071398bf1238d1d2dac01a9eaef6e877a"/>
    <w:p>
      <w:pPr>
        <w:pStyle w:val="Heading3"/>
        <w:jc w:val="left"/>
      </w:pPr>
      <w:r>
        <w:rPr>
          <w:color w:val="000000"/>
        </w:rPr>
        <w:t xml:space="preserve">3.2. Функции Комиссии</w:t>
      </w:r>
    </w:p>
    <w:p>
      <w:pPr>
        <w:pStyle w:val="FirstParagraph"/>
        <w:jc w:val="both"/>
      </w:pPr>
      <w:r>
        <w:t xml:space="preserve">Комиссия выполняет следующие функции:</w:t>
      </w:r>
    </w:p>
    <w:p>
      <w:pPr>
        <w:pStyle w:val="Compact"/>
        <w:numPr>
          <w:ilvl w:val="0"/>
          <w:numId w:val="1002"/>
        </w:numPr>
        <w:jc w:val="both"/>
      </w:pPr>
      <w:r>
        <w:t xml:space="preserve">составляет перечень персональных данных, подлежащих уничтожению, с указанием носителя, объёма и основания уничтожения;</w:t>
      </w:r>
    </w:p>
    <w:p>
      <w:pPr>
        <w:pStyle w:val="Compact"/>
        <w:numPr>
          <w:ilvl w:val="0"/>
          <w:numId w:val="1002"/>
        </w:numPr>
        <w:jc w:val="both"/>
      </w:pPr>
      <w:r>
        <w:t xml:space="preserve">определяет и документирует способ уничтожения применительно к типу носителя;</w:t>
      </w:r>
    </w:p>
    <w:p>
      <w:pPr>
        <w:pStyle w:val="Compact"/>
        <w:numPr>
          <w:ilvl w:val="0"/>
          <w:numId w:val="1002"/>
        </w:numPr>
        <w:jc w:val="both"/>
      </w:pPr>
      <w:r>
        <w:t xml:space="preserve">непосредственно контролирует проведение мероприятий по уничтожению;</w:t>
      </w:r>
    </w:p>
    <w:p>
      <w:pPr>
        <w:pStyle w:val="Compact"/>
        <w:numPr>
          <w:ilvl w:val="0"/>
          <w:numId w:val="1002"/>
        </w:numPr>
        <w:jc w:val="both"/>
      </w:pPr>
      <w:r>
        <w:t xml:space="preserve">составляет Акт об уничтожении персональных данных (Приложение № 1 к настоящему Регламенту).</w:t>
      </w:r>
    </w:p>
    <w:bookmarkEnd w:id="23"/>
    <w:bookmarkStart w:id="24" w:name="Xb9344287cd19749f2aa2137547297727b85030b"/>
    <w:p>
      <w:pPr>
        <w:pStyle w:val="Heading3"/>
        <w:jc w:val="left"/>
      </w:pPr>
      <w:r>
        <w:rPr>
          <w:color w:val="000000"/>
        </w:rPr>
        <w:t xml:space="preserve">3.3. Способы уничтожения персональных данных</w:t>
      </w:r>
    </w:p>
    <w:p>
      <w:pPr>
        <w:pStyle w:val="FirstParagraph"/>
        <w:jc w:val="both"/>
      </w:pPr>
      <w:r>
        <w:t xml:space="preserve">Оператор применяет меры, необходимые для обеспечения выполнения обязанностей, предусмотренных Федеральным законом от 27.07.2006 № 152-ФЗ и принятыми в соответствии с ним нормативными правовыми актами, в том числе принимает правовые, организационные и технические меры для защиты персональных данных от случайного или незаконного уничтожения (статья 19 часть 2 Федерального закона от 27.07.2006 № 152-ФЗ).</w:t>
      </w:r>
    </w:p>
    <w:p>
      <w:pPr>
        <w:pStyle w:val="BodyText"/>
        <w:jc w:val="both"/>
      </w:pPr>
      <w:r>
        <w:rPr>
          <w:b/>
          <w:bCs/>
        </w:rPr>
        <w:t xml:space="preserve">3.3.1. Бумажные носители.</w:t>
      </w:r>
      <w:r>
        <w:t xml:space="preserve"> </w:t>
      </w:r>
      <w:r>
        <w:t xml:space="preserve">Уничтожение бумажных документов, содержащих персональные данные, осуществляется одним из следующих способов:</w:t>
      </w:r>
    </w:p>
    <w:p>
      <w:pPr>
        <w:pStyle w:val="Compact"/>
        <w:numPr>
          <w:ilvl w:val="0"/>
          <w:numId w:val="1003"/>
        </w:numPr>
        <w:jc w:val="both"/>
      </w:pPr>
      <w:r>
        <w:t xml:space="preserve">шредирование с использованием шредера не ниже класса P-4 (поперечная резка, частицы не более 2×15 мм) в соответствии с ГОСТ Р 7.0.8-2013 «Делопроизводство и архивное дело. Термины и определения» (DIN 66399, класс P-4);</w:t>
      </w:r>
    </w:p>
    <w:p>
      <w:pPr>
        <w:pStyle w:val="Compact"/>
        <w:numPr>
          <w:ilvl w:val="0"/>
          <w:numId w:val="1003"/>
        </w:numPr>
        <w:jc w:val="both"/>
      </w:pPr>
      <w:r>
        <w:t xml:space="preserve">сжигание в специально отведённом месте с соблюдением требований пожарной безопасности при невозможности применения шредера.</w:t>
      </w:r>
    </w:p>
    <w:p>
      <w:pPr>
        <w:pStyle w:val="FirstParagraph"/>
        <w:jc w:val="both"/>
      </w:pPr>
      <w:r>
        <w:rPr>
          <w:b/>
          <w:bCs/>
        </w:rPr>
        <w:t xml:space="preserve">3.3.2. Электронные носители.</w:t>
      </w:r>
      <w:r>
        <w:t xml:space="preserve"> </w:t>
      </w:r>
      <w:r>
        <w:t xml:space="preserve">Персональные данные, хранящиеся на электронных носителях (жёсткие диски, USB-накопители, съёмные носители), уничтожаются одним из следующих способов:</w:t>
      </w:r>
    </w:p>
    <w:p>
      <w:pPr>
        <w:pStyle w:val="Compact"/>
        <w:numPr>
          <w:ilvl w:val="0"/>
          <w:numId w:val="1004"/>
        </w:numPr>
        <w:jc w:val="both"/>
      </w:pPr>
      <w:r>
        <w:t xml:space="preserve">программное уничтожение методом многократной перезаписи (не менее трёх проходов) с использованием сертифицированных средств гарантированного уничтожения информации;</w:t>
      </w:r>
    </w:p>
    <w:p>
      <w:pPr>
        <w:pStyle w:val="Compact"/>
        <w:numPr>
          <w:ilvl w:val="0"/>
          <w:numId w:val="1004"/>
        </w:numPr>
        <w:jc w:val="both"/>
      </w:pPr>
      <w:r>
        <w:t xml:space="preserve">физическое уничтожение носителя (размагничивание, механическое разрушение) при невозможности программного уничтожения или в случае неисправности носителя.</w:t>
      </w:r>
    </w:p>
    <w:p>
      <w:pPr>
        <w:pStyle w:val="FirstParagraph"/>
        <w:jc w:val="both"/>
      </w:pPr>
      <w:r>
        <w:rPr>
          <w:b/>
          <w:bCs/>
        </w:rPr>
        <w:t xml:space="preserve">3.3.3. Данные в информационных системах персональных данных (ИСПДн).</w:t>
      </w:r>
      <w:r>
        <w:t xml:space="preserve"> </w:t>
      </w:r>
      <w:r>
        <w:t xml:space="preserve">Удаление записей из баз данных ИСПДн осуществляется уполномоченным администратором с последующим подтверждением технической невозможности восстановления удалённых данных. Подтверждение оформляется в Акте уничтожения.</w:t>
      </w:r>
    </w:p>
    <w:bookmarkEnd w:id="24"/>
    <w:bookmarkEnd w:id="25"/>
    <w:bookmarkStart w:id="26" w:name="Xe782b83fcdfef1b216266b667a5f5d97e78e666"/>
    <w:p>
      <w:pPr>
        <w:pStyle w:val="Heading2"/>
        <w:jc w:val="left"/>
      </w:pPr>
      <w:r>
        <w:rPr>
          <w:color w:val="000000"/>
        </w:rPr>
        <w:t xml:space="preserve">Раздел 4 — Сроки уничтожения персональных данных</w:t>
      </w:r>
    </w:p>
    <w:p>
      <w:pPr>
        <w:pStyle w:val="FirstParagraph"/>
        <w:jc w:val="both"/>
      </w:pPr>
      <w:r>
        <w:t xml:space="preserve">Сроки уничтожения персональных данных в зависимости от основания:</w:t>
      </w:r>
    </w:p>
    <w:tbl>
      <w:tblPr>
        <w:tblStyle w:val="Table"/>
        <w:tblLook w:firstRow="1" w:lastRow="0" w:firstColumn="0" w:lastColumn="0" w:noHBand="0" w:noVBand="0" w:val="0020"/>
        <w:tblW w:w="5000" w:type="pct"/>
      </w:tblPr>
      <w:tblGrid>
        <w:gridCol w:w="2640"/>
        <w:gridCol w:w="2640"/>
        <w:gridCol w:w="2640"/>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Основание уничтожения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Срок уничтожения</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Отзыв субъектом согласия (при отсутствии иных законных оснований обработки)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 позднее 30 календарных дней с даты поступления отзыва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Достижение цели обработки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 позднее 30 календарных дней с даты достижения цели</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3</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Выявление факта неправомерной обработки</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 позднее 10 рабочих дней с даты выявления</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4</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Истечение срока хранения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Не позднее 30 календарных дней с даты истечения срока</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5</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Требование Роскомнадзора</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В срок, указанный в предписании</w:t>
            </w:r>
          </w:p>
        </w:tc>
      </w:tr>
    </w:tbl>
    <w:p>
      <w:pPr>
        <w:pStyle w:val="BodyText"/>
        <w:jc w:val="both"/>
      </w:pPr>
      <w:r>
        <w:t xml:space="preserve">После уничтожения персональных данных Оператор уведомляет субъекта персональных данных или его законного представителя о произведённом уничтожении в случаях, предусмотренных Федеральным законом от 27.07.2006 № 152-ФЗ (статья 21 часть 4).</w:t>
      </w:r>
    </w:p>
    <w:bookmarkEnd w:id="26"/>
    <w:bookmarkStart w:id="30" w:name="Xe8fe8ecd417c59762b0008578db91bc1aae9873"/>
    <w:p>
      <w:pPr>
        <w:pStyle w:val="Heading2"/>
        <w:jc w:val="left"/>
      </w:pPr>
      <w:r>
        <w:rPr>
          <w:color w:val="000000"/>
        </w:rPr>
        <w:t xml:space="preserve">Раздел 5 — Документирование и ответственность</w:t>
      </w:r>
    </w:p>
    <w:bookmarkStart w:id="27" w:name="X5b96293f7bc3b56595d2cd6744cdbe6a4e96d29"/>
    <w:p>
      <w:pPr>
        <w:pStyle w:val="Heading3"/>
        <w:jc w:val="left"/>
      </w:pPr>
      <w:r>
        <w:rPr>
          <w:color w:val="000000"/>
        </w:rPr>
        <w:t xml:space="preserve">5.1. Акт об уничтожении персональных данных</w:t>
      </w:r>
    </w:p>
    <w:p>
      <w:pPr>
        <w:pStyle w:val="FirstParagraph"/>
        <w:jc w:val="both"/>
      </w:pPr>
      <w:r>
        <w:t xml:space="preserve">По результатам уничтожения персональных данных Комиссия составляет Акт об уничтожении персональных данных (Приложение № 1). Акт подписывается всеми членами Комиссии и хранится у ответственного за организацию обработки персональных данных не менее пяти лет.</w:t>
      </w:r>
    </w:p>
    <w:bookmarkEnd w:id="27"/>
    <w:bookmarkStart w:id="28" w:name="X14dc9c25c8d8e7a41382969954cb337d2ad6042"/>
    <w:p>
      <w:pPr>
        <w:pStyle w:val="Heading3"/>
        <w:jc w:val="left"/>
      </w:pPr>
      <w:r>
        <w:rPr>
          <w:color w:val="000000"/>
        </w:rPr>
        <w:t xml:space="preserve">5.2. Ответственность</w:t>
      </w:r>
    </w:p>
    <w:p>
      <w:pPr>
        <w:pStyle w:val="FirstParagraph"/>
        <w:jc w:val="both"/>
      </w:pPr>
      <w:r>
        <w:t xml:space="preserve">Ответственность за организацию исполнения настоящего Регламента возлагается на</w:t>
      </w:r>
      <w:r>
        <w:t xml:space="preserve"> </w:t>
      </w:r>
      <w:r>
        <w:rPr>
          <w:shd w:val="clear" w:color="auto" w:fill="C6EFCE"/>
        </w:rPr>
        <w:t xml:space="preserve">Сидорова Мария Сергеевна</w:t>
      </w:r>
      <w:r>
        <w:t xml:space="preserve">.</w:t>
      </w:r>
    </w:p>
    <w:p>
      <w:pPr>
        <w:pStyle w:val="BodyText"/>
        <w:jc w:val="both"/>
      </w:pPr>
      <w:r>
        <w:t xml:space="preserve">Работники Оператора, виновные в нарушении установленного Регламентом порядка уничтожения персональных данных, несут дисциплинарную, административную и иную ответственность в соответствии с законодательством Российской Федерации.</w:t>
      </w:r>
    </w:p>
    <w:bookmarkEnd w:id="28"/>
    <w:bookmarkStart w:id="29" w:name="X782cb882d6c3a54e005c0b60083f2bea5d4bd81"/>
    <w:p>
      <w:pPr>
        <w:pStyle w:val="Heading3"/>
        <w:jc w:val="left"/>
      </w:pPr>
      <w:r>
        <w:rPr>
          <w:color w:val="000000"/>
        </w:rPr>
        <w:t xml:space="preserve">5.3. Введение в действие</w:t>
      </w:r>
    </w:p>
    <w:p>
      <w:pPr>
        <w:pStyle w:val="FirstParagraph"/>
        <w:jc w:val="both"/>
      </w:pPr>
      <w:r>
        <w:t xml:space="preserve">Настоящий Регламент вступает в силу с момента утверждения приказом</w:t>
      </w:r>
      <w:r>
        <w:t xml:space="preserve"> </w:t>
      </w:r>
      <w:r>
        <w:rPr>
          <w:shd w:val="clear" w:color="auto" w:fill="C6EFCE"/>
        </w:rPr>
        <w:t xml:space="preserve">Генеральный директор</w:t>
      </w:r>
      <w:r>
        <w:t xml:space="preserve"> </w:t>
      </w:r>
      <w:r>
        <w:rPr>
          <w:shd w:val="clear" w:color="auto" w:fill="C6EFCE"/>
        </w:rPr>
        <w:t xml:space="preserve">Общество с ограниченной ответственностью «Ромашка»</w:t>
      </w:r>
      <w:r>
        <w:t xml:space="preserve"> </w:t>
      </w:r>
      <w:r>
        <w:t xml:space="preserve">и действует бессрочно до его отмены или замены новой редакцией.</w:t>
      </w:r>
    </w:p>
    <w:bookmarkEnd w:id="29"/>
    <w:bookmarkEnd w:id="30"/>
    <w:bookmarkStart w:id="31" w:name="Xaaa51096016946e1aaa3ba9f9b31633b9dfd6f0"/>
    <w:p>
      <w:pPr>
        <w:pStyle w:val="Heading2"/>
        <w:jc w:val="left"/>
        <w:pageBreakBefore/>
      </w:pPr>
      <w:r>
        <w:rPr>
          <w:color w:val="000000"/>
        </w:rPr>
        <w:t xml:space="preserve">Приложение № 1 — Акт об уничтожении персональных данных</w:t>
      </w:r>
    </w:p>
    <w:p>
      <w:pPr>
        <w:pStyle w:val="FirstParagraph"/>
      </w:pPr>
      <w:r>
        <w:rPr>
          <w:b/>
          <w:bCs/>
        </w:rPr>
        <w:t xml:space="preserve">УТВЕРЖДАЮ</w:t>
      </w:r>
      <w:r>
        <w:t xml:space="preserve"> </w:t>
      </w:r>
      <w:r>
        <w:rPr>
          <w:shd w:val="clear" w:color="auto" w:fill="C6EFCE"/>
        </w:rPr>
        <w:t xml:space="preserve">Генеральный директор</w:t>
      </w:r>
      <w:r>
        <w:t xml:space="preserve"> </w:t>
      </w:r>
      <w:r>
        <w:rPr>
          <w:shd w:val="clear" w:color="auto" w:fill="C6EFCE"/>
        </w:rPr>
        <w:t xml:space="preserve">ООО «Ромашка»</w:t>
      </w:r>
      <w:r>
        <w:t xml:space="preserve"> </w:t>
      </w:r>
      <w:r>
        <w:rPr>
          <w:shd w:val="clear" w:color="auto" w:fill="C6EFCE"/>
        </w:rPr>
        <w:t xml:space="preserve">И.И. Иванов</w:t>
      </w:r>
      <w:r>
        <w:t xml:space="preserve"> </w:t>
      </w:r>
      <w:r>
        <w:t xml:space="preserve">«____» ____________</w:t>
      </w:r>
      <w:r>
        <w:t xml:space="preserve"> </w:t>
      </w:r>
      <w:r>
        <w:rPr>
          <w:shd w:val="clear" w:color="auto" w:fill="C6EFCE"/>
        </w:rPr>
        <w:t xml:space="preserve">2026</w:t>
      </w:r>
      <w:r>
        <w:t xml:space="preserve"> </w:t>
      </w:r>
      <w:r>
        <w:t xml:space="preserve">г.</w:t>
      </w:r>
    </w:p>
    <w:p>
      <w:pPr>
        <w:pStyle w:val="BodyText"/>
        <w:jc w:val="both"/>
      </w:pPr>
      <w:r>
        <w:rPr>
          <w:b/>
          <w:bCs/>
        </w:rPr>
        <w:t xml:space="preserve">АКТ № ____</w:t>
      </w:r>
      <w:r>
        <w:t xml:space="preserve"> </w:t>
      </w:r>
      <w:r>
        <w:rPr>
          <w:b/>
          <w:bCs/>
        </w:rPr>
        <w:t xml:space="preserve">об уничтожении персональных данных</w:t>
      </w:r>
    </w:p>
    <w:p>
      <w:pPr>
        <w:pStyle w:val="BodyText"/>
        <w:jc w:val="both"/>
      </w:pPr>
      <w:r>
        <w:rPr>
          <w:shd w:val="clear" w:color="auto" w:fill="C6EFCE"/>
        </w:rPr>
        <w:t xml:space="preserve">Общество с ограниченной ответственностью «Ромашка»</w:t>
      </w:r>
    </w:p>
    <w:p>
      <w:pPr>
        <w:pStyle w:val="BodyText"/>
      </w:pPr>
      <w:r>
        <w:t xml:space="preserve">г. ________________ «____» ____________</w:t>
      </w:r>
      <w:r>
        <w:t xml:space="preserve"> </w:t>
      </w:r>
      <w:r>
        <w:rPr>
          <w:shd w:val="clear" w:color="auto" w:fill="C6EFCE"/>
        </w:rPr>
        <w:t xml:space="preserve">2026</w:t>
      </w:r>
      <w:r>
        <w:t xml:space="preserve"> </w:t>
      </w:r>
      <w:r>
        <w:t xml:space="preserve">г.</w:t>
      </w:r>
    </w:p>
    <w:p>
      <w:pPr>
        <w:pStyle w:val="BodyText"/>
        <w:jc w:val="both"/>
      </w:pPr>
      <w:r>
        <w:t xml:space="preserve">Комиссия по уничтожению персональных данных в составе:</w:t>
      </w:r>
    </w:p>
    <w:p>
      <w:pPr>
        <w:pStyle w:val="Compact"/>
        <w:numPr>
          <w:ilvl w:val="0"/>
          <w:numId w:val="1005"/>
        </w:numPr>
      </w:pPr>
      <w:r>
        <w:t xml:space="preserve">Председатель: _________________________________</w:t>
      </w:r>
    </w:p>
    <w:p>
      <w:pPr>
        <w:pStyle w:val="Compact"/>
        <w:numPr>
          <w:ilvl w:val="0"/>
          <w:numId w:val="1005"/>
        </w:numPr>
      </w:pPr>
      <w:r>
        <w:t xml:space="preserve">Член Комиссии: _________________________________</w:t>
      </w:r>
    </w:p>
    <w:p>
      <w:pPr>
        <w:pStyle w:val="Compact"/>
        <w:numPr>
          <w:ilvl w:val="0"/>
          <w:numId w:val="1005"/>
        </w:numPr>
      </w:pPr>
      <w:r>
        <w:t xml:space="preserve">Член Комиссии: _________________________________</w:t>
      </w:r>
    </w:p>
    <w:p>
      <w:pPr>
        <w:pStyle w:val="FirstParagraph"/>
        <w:jc w:val="both"/>
      </w:pPr>
      <w:r>
        <w:t xml:space="preserve">составила настоящий Акт о том, что во исполнение требований статьи 21 Федерального закона от 27.07.2006 № 152-ФЗ «О персональных данных» были уничтожены следующие персональные данные:</w:t>
      </w:r>
    </w:p>
    <w:tbl>
      <w:tblPr>
        <w:tblStyle w:val="Table"/>
        <w:tblLook w:firstRow="1" w:lastRow="0" w:firstColumn="0" w:lastColumn="0" w:noHBand="0" w:noVBand="0" w:val="0020"/>
        <w:tblW w:w="5000" w:type="pct"/>
      </w:tblPr>
      <w:tblGrid>
        <w:gridCol w:w="1131"/>
        <w:gridCol w:w="1131"/>
        <w:gridCol w:w="1131"/>
        <w:gridCol w:w="1131"/>
        <w:gridCol w:w="1131"/>
        <w:gridCol w:w="1131"/>
        <w:gridCol w:w="1131"/>
      </w:tblGrid>
      <w:tr>
        <w:trPr>
          <w:tblHeader w:val="on"/>
        </w:trP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Наименование документа / массива данных</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Категория ПДн</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Носитель</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Основание уничтожения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Способ уничтожения</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Количество</w:t>
            </w: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1</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r>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r>
              <w:t xml:space="preserve">2</w:t>
            </w: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c>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p>
            <w:pPr>
              <w:pStyle w:val="Compact"/>
            </w:pPr>
          </w:p>
        </w:tc>
      </w:tr>
    </w:tbl>
    <w:p>
      <w:pPr>
        <w:pStyle w:val="BodyText"/>
        <w:jc w:val="both"/>
      </w:pPr>
      <w:r>
        <w:t xml:space="preserve">Персональные данные, указанные в настоящем Акте, уничтожены в полном объёме. Восстановление уничтоженных персональных данных признаётся технически невозможным.</w:t>
      </w:r>
    </w:p>
    <w:p>
      <w:pPr>
        <w:pStyle w:val="BodyText"/>
      </w:pPr>
      <w:r>
        <w:rPr>
          <w:shd w:val="clear" w:color="auto" w:fill="C6EFCE"/>
        </w:rPr>
        <w:t xml:space="preserve">Генеральный директор</w:t>
      </w:r>
      <w:r>
        <w:t xml:space="preserve"> </w:t>
      </w:r>
      <w:r>
        <w:t xml:space="preserve">______________________________________________ /</w:t>
      </w:r>
      <w:r>
        <w:t xml:space="preserve"> </w:t>
      </w:r>
      <w:r>
        <w:rPr>
          <w:shd w:val="clear" w:color="auto" w:fill="C6EFCE"/>
        </w:rPr>
        <w:t xml:space="preserve">Иванов И.И.</w:t>
      </w:r>
      <w:r>
        <w:t xml:space="preserve"> </w:t>
      </w:r>
      <w:r>
        <w:t xml:space="preserve">/</w:t>
      </w:r>
    </w:p>
    <w:p>
      <w:pPr>
        <w:pStyle w:val="BodyText"/>
      </w:pPr>
      <w:r>
        <w:rPr>
          <w:shd w:val="clear" w:color="auto" w:fill="C6EFCE"/>
        </w:rPr>
        <w:t xml:space="preserve">Начальник отдела кадров</w:t>
      </w:r>
      <w:r>
        <w:t xml:space="preserve"> </w:t>
      </w:r>
      <w:r>
        <w:t xml:space="preserve">______________________________________________ /</w:t>
      </w:r>
      <w:r>
        <w:t xml:space="preserve"> </w:t>
      </w:r>
      <w:r>
        <w:rPr>
          <w:shd w:val="clear" w:color="auto" w:fill="C6EFCE"/>
        </w:rPr>
        <w:t xml:space="preserve">Сидорова М.С.</w:t>
      </w:r>
      <w:r>
        <w:t xml:space="preserve"> </w:t>
      </w:r>
      <w:r>
        <w:t xml:space="preserve">/</w:t>
      </w:r>
    </w:p>
    <w:p>
      <w:pPr>
        <w:pStyle w:val="BodyText"/>
      </w:pPr>
      <w:r>
        <w:rPr>
          <w:shd w:val="clear" w:color="auto" w:fill="C6EFCE"/>
        </w:rPr>
        <w:t xml:space="preserve">Системный администратор</w:t>
      </w:r>
      <w:r>
        <w:t xml:space="preserve"> </w:t>
      </w:r>
      <w:r>
        <w:t xml:space="preserve">______________________________________________ /</w:t>
      </w:r>
      <w:r>
        <w:t xml:space="preserve"> </w:t>
      </w:r>
      <w:r>
        <w:rPr>
          <w:shd w:val="clear" w:color="auto" w:fill="C6EFCE"/>
        </w:rPr>
        <w:t xml:space="preserve">Петров А.Н.</w:t>
      </w:r>
      <w:r>
        <w:t xml:space="preserve"> </w:t>
      </w:r>
      <w:r>
        <w:t xml:space="preserve">/</w:t>
      </w:r>
    </w:p>
    <w:bookmarkEnd w:id="31"/>
    <w:bookmarkStart w:id="32" w:name="инструкция-по-заполнению"/>
    <w:p>
      <w:pPr>
        <w:pStyle w:val="Heading2"/>
        <w:jc w:val="left"/>
        <w:pageBreakBefore/>
        <w:shd w:val="clear" w:color="auto" w:fill="F2F2F2"/>
      </w:pPr>
      <w:r>
        <w:rPr>
          <w:color w:val="000000"/>
        </w:rPr>
        <w:t xml:space="preserve">Инструкция по заполнению</w:t>
      </w:r>
    </w:p>
    <w:p>
      <w:pPr>
        <w:pStyle w:val="FirstParagraph"/>
        <w:jc w:val="both"/>
        <w:shd w:val="clear" w:color="auto" w:fill="F2F2F2"/>
      </w:pPr>
      <w:r>
        <w:t xml:space="preserve">Данный раздел — для справки при подготовке и утверждении регламента. Удалите страницу перед подписанием и утверждением приказом руководителя.</w:t>
      </w:r>
    </w:p>
    <w:p>
      <w:pPr>
        <w:pStyle w:val="BodyText"/>
        <w:jc w:val="both"/>
        <w:shd w:val="clear" w:color="auto" w:fill="F2F2F2"/>
      </w:pPr>
      <w:r>
        <w:rPr>
          <w:b/>
          <w:bCs/>
        </w:rPr>
        <w:t xml:space="preserve">Зелёные поля (переменные):</w:t>
      </w:r>
    </w:p>
    <w:p>
      <w:pPr>
        <w:pStyle w:val="Compact"/>
        <w:numPr>
          <w:ilvl w:val="0"/>
          <w:numId w:val="1006"/>
        </w:numPr>
        <w:jc w:val="both"/>
        <w:shd w:val="clear" w:color="auto" w:fill="F2F2F2"/>
      </w:pPr>
      <w:r>
        <w:rPr>
          <w:b/>
          <w:bCs/>
          <w:shd w:val="clear" w:color="auto" w:fill="C6EFCE"/>
        </w:rPr>
        <w:t xml:space="preserve">Общество с ограниченной ответственностью «Ромашка»</w:t>
      </w:r>
      <w:r>
        <w:t xml:space="preserve"> </w:t>
      </w:r>
      <w:r>
        <w:t xml:space="preserve">— полное юридическое наименование организации-оператора ПДн (как в ЕГРЮЛ/ЕГРИП), например: «Общество с ограниченной ответственностью "Ромашка"»</w:t>
      </w:r>
    </w:p>
    <w:p>
      <w:pPr>
        <w:pStyle w:val="Compact"/>
        <w:numPr>
          <w:ilvl w:val="0"/>
          <w:numId w:val="1006"/>
        </w:numPr>
        <w:jc w:val="both"/>
        <w:shd w:val="clear" w:color="auto" w:fill="F2F2F2"/>
      </w:pPr>
      <w:r>
        <w:rPr>
          <w:b/>
          <w:bCs/>
          <w:shd w:val="clear" w:color="auto" w:fill="C6EFCE"/>
        </w:rPr>
        <w:t xml:space="preserve">ООО «Ромашка»</w:t>
      </w:r>
      <w:r>
        <w:t xml:space="preserve"> </w:t>
      </w:r>
      <w:r>
        <w:t xml:space="preserve">— краткое наименование, например: «ООО "Ромашка"»</w:t>
      </w:r>
    </w:p>
    <w:p>
      <w:pPr>
        <w:pStyle w:val="Compact"/>
        <w:numPr>
          <w:ilvl w:val="0"/>
          <w:numId w:val="1006"/>
        </w:numPr>
        <w:jc w:val="both"/>
        <w:shd w:val="clear" w:color="auto" w:fill="F2F2F2"/>
      </w:pPr>
      <w:r>
        <w:rPr>
          <w:b/>
          <w:bCs/>
          <w:shd w:val="clear" w:color="auto" w:fill="C6EFCE"/>
        </w:rPr>
        <w:t xml:space="preserve">Сидорова Мария Сергеевна</w:t>
      </w:r>
      <w:r>
        <w:t xml:space="preserve"> </w:t>
      </w:r>
      <w:r>
        <w:t xml:space="preserve">— ФИО ответственного за организацию обработки персональных данных (назначается приказом, фигурирует дважды: в составе Комиссии и в п. 5.2)</w:t>
      </w:r>
    </w:p>
    <w:p>
      <w:pPr>
        <w:pStyle w:val="Compact"/>
        <w:numPr>
          <w:ilvl w:val="0"/>
          <w:numId w:val="1006"/>
        </w:numPr>
        <w:jc w:val="both"/>
        <w:shd w:val="clear" w:color="auto" w:fill="F2F2F2"/>
      </w:pPr>
      <w:r>
        <w:rPr>
          <w:b/>
          <w:bCs/>
          <w:shd w:val="clear" w:color="auto" w:fill="C6EFCE"/>
        </w:rPr>
        <w:t xml:space="preserve">Генеральный директор</w:t>
      </w:r>
      <w:r>
        <w:t xml:space="preserve"> </w:t>
      </w:r>
      <w:r>
        <w:t xml:space="preserve">— должность руководителя, подписывающего регламент, например: «Генеральный директор»</w:t>
      </w:r>
    </w:p>
    <w:p>
      <w:pPr>
        <w:pStyle w:val="Compact"/>
        <w:numPr>
          <w:ilvl w:val="0"/>
          <w:numId w:val="1006"/>
        </w:numPr>
        <w:jc w:val="both"/>
        <w:shd w:val="clear" w:color="auto" w:fill="F2F2F2"/>
      </w:pPr>
      <w:r>
        <w:rPr>
          <w:b/>
          <w:bCs/>
          <w:shd w:val="clear" w:color="auto" w:fill="C6EFCE"/>
        </w:rPr>
        <w:t xml:space="preserve">И.И. Иванов</w:t>
      </w:r>
      <w:r>
        <w:t xml:space="preserve"> </w:t>
      </w:r>
      <w:r>
        <w:t xml:space="preserve">— инициалы и фамилия руководителя в форме «И.О. Фамилия»</w:t>
      </w:r>
    </w:p>
    <w:p>
      <w:pPr>
        <w:pStyle w:val="Compact"/>
        <w:numPr>
          <w:ilvl w:val="0"/>
          <w:numId w:val="1006"/>
        </w:numPr>
        <w:jc w:val="both"/>
        <w:shd w:val="clear" w:color="auto" w:fill="F2F2F2"/>
      </w:pPr>
      <w:r>
        <w:rPr>
          <w:b/>
          <w:bCs/>
          <w:shd w:val="clear" w:color="auto" w:fill="C6EFCE"/>
        </w:rPr>
        <w:t xml:space="preserve">2026</w:t>
      </w:r>
      <w:r>
        <w:t xml:space="preserve"> </w:t>
      </w:r>
      <w:r>
        <w:t xml:space="preserve">— текущий год (подставляется автоматически)</w:t>
      </w:r>
    </w:p>
    <w:p>
      <w:pPr>
        <w:pStyle w:val="Compact"/>
        <w:numPr>
          <w:ilvl w:val="0"/>
          <w:numId w:val="1006"/>
        </w:numPr>
        <w:jc w:val="both"/>
        <w:shd w:val="clear" w:color="auto" w:fill="F2F2F2"/>
      </w:pPr>
      <w:r>
        <w:rPr>
          <w:b/>
          <w:bCs/>
        </w:rPr>
        <w:t xml:space="preserve">[commission.chairman.*]</w:t>
      </w:r>
      <w:r>
        <w:t xml:space="preserve"> </w:t>
      </w:r>
      <w:r>
        <w:t xml:space="preserve">и</w:t>
      </w:r>
      <w:r>
        <w:t xml:space="preserve"> </w:t>
      </w:r>
      <w:r>
        <w:rPr>
          <w:b/>
          <w:bCs/>
        </w:rPr>
        <w:t xml:space="preserve">[commission.member1/2.*]</w:t>
      </w:r>
      <w:r>
        <w:t xml:space="preserve"> </w:t>
      </w:r>
      <w:r>
        <w:t xml:space="preserve">— должности и Ф.И.О. (в формате «Фамилия И.О.») всех трёх членов Комиссии по уничтожению ПДн</w:t>
      </w:r>
    </w:p>
    <w:p>
      <w:pPr>
        <w:pStyle w:val="FirstParagraph"/>
        <w:jc w:val="both"/>
        <w:shd w:val="clear" w:color="auto" w:fill="F2F2F2"/>
      </w:pPr>
      <w:r>
        <w:rPr>
          <w:b/>
          <w:bCs/>
        </w:rPr>
        <w:t xml:space="preserve">Ключевые сроки из 152-ФЗ — проверьте соответствие:</w:t>
      </w:r>
    </w:p>
    <w:p>
      <w:pPr>
        <w:pStyle w:val="Compact"/>
        <w:numPr>
          <w:ilvl w:val="0"/>
          <w:numId w:val="1007"/>
        </w:numPr>
        <w:jc w:val="both"/>
        <w:shd w:val="clear" w:color="auto" w:fill="F2F2F2"/>
      </w:pPr>
      <w:r>
        <w:t xml:space="preserve">Отзыв согласия → уничтожение</w:t>
      </w:r>
      <w:r>
        <w:t xml:space="preserve"> </w:t>
      </w:r>
      <w:r>
        <w:rPr>
          <w:b/>
          <w:bCs/>
        </w:rPr>
        <w:t xml:space="preserve">не позднее 30 календарных дней</w:t>
      </w:r>
      <w:r>
        <w:t xml:space="preserve"> </w:t>
      </w:r>
      <w:r>
        <w:t xml:space="preserve">(ст. 21 ч. 3)</w:t>
      </w:r>
    </w:p>
    <w:p>
      <w:pPr>
        <w:pStyle w:val="Compact"/>
        <w:numPr>
          <w:ilvl w:val="0"/>
          <w:numId w:val="1007"/>
        </w:numPr>
        <w:jc w:val="both"/>
        <w:shd w:val="clear" w:color="auto" w:fill="F2F2F2"/>
      </w:pPr>
      <w:r>
        <w:t xml:space="preserve">Неправомерная обработка → уничтожение</w:t>
      </w:r>
      <w:r>
        <w:t xml:space="preserve"> </w:t>
      </w:r>
      <w:r>
        <w:rPr>
          <w:b/>
          <w:bCs/>
        </w:rPr>
        <w:t xml:space="preserve">не позднее 10 рабочих дней</w:t>
      </w:r>
      <w:r>
        <w:t xml:space="preserve"> </w:t>
      </w:r>
      <w:r>
        <w:t xml:space="preserve">с даты выявления (ст. 21 ч. 5)</w:t>
      </w:r>
    </w:p>
    <w:p>
      <w:pPr>
        <w:pStyle w:val="Compact"/>
        <w:numPr>
          <w:ilvl w:val="0"/>
          <w:numId w:val="1007"/>
        </w:numPr>
        <w:jc w:val="both"/>
        <w:shd w:val="clear" w:color="auto" w:fill="F2F2F2"/>
      </w:pPr>
      <w:r>
        <w:t xml:space="preserve">После уничтожения →</w:t>
      </w:r>
      <w:r>
        <w:t xml:space="preserve"> </w:t>
      </w:r>
      <w:r>
        <w:rPr>
          <w:b/>
          <w:bCs/>
        </w:rPr>
        <w:t xml:space="preserve">уведомить субъекта</w:t>
      </w:r>
      <w:r>
        <w:t xml:space="preserve"> </w:t>
      </w:r>
      <w:r>
        <w:t xml:space="preserve">в предусмотренных законом случаях (ст. 21 ч. 4)</w:t>
      </w:r>
    </w:p>
    <w:p>
      <w:pPr>
        <w:pStyle w:val="FirstParagraph"/>
        <w:jc w:val="both"/>
        <w:shd w:val="clear" w:color="auto" w:fill="F2F2F2"/>
      </w:pPr>
      <w:r>
        <w:rPr>
          <w:b/>
          <w:bCs/>
        </w:rPr>
        <w:t xml:space="preserve">Специфика документа:</w:t>
      </w:r>
    </w:p>
    <w:p>
      <w:pPr>
        <w:pStyle w:val="Compact"/>
        <w:numPr>
          <w:ilvl w:val="0"/>
          <w:numId w:val="1008"/>
        </w:numPr>
        <w:jc w:val="both"/>
        <w:shd w:val="clear" w:color="auto" w:fill="F2F2F2"/>
      </w:pPr>
      <w:r>
        <w:t xml:space="preserve">Регламент является организационно-распорядительным документом и вводится в действие отдельным</w:t>
      </w:r>
      <w:r>
        <w:t xml:space="preserve"> </w:t>
      </w:r>
      <w:r>
        <w:rPr>
          <w:b/>
          <w:bCs/>
        </w:rPr>
        <w:t xml:space="preserve">приказом руководителя</w:t>
      </w:r>
      <w:r>
        <w:t xml:space="preserve"> </w:t>
      </w:r>
      <w:r>
        <w:t xml:space="preserve">— без приказа документ юридически не вступает в силу</w:t>
      </w:r>
    </w:p>
    <w:p>
      <w:pPr>
        <w:pStyle w:val="Compact"/>
        <w:numPr>
          <w:ilvl w:val="0"/>
          <w:numId w:val="1008"/>
        </w:numPr>
        <w:jc w:val="both"/>
        <w:shd w:val="clear" w:color="auto" w:fill="F2F2F2"/>
      </w:pPr>
      <w:r>
        <w:t xml:space="preserve">Приложение № 1 (Акт об уничтожении) —</w:t>
      </w:r>
      <w:r>
        <w:t xml:space="preserve"> </w:t>
      </w:r>
      <w:r>
        <w:rPr>
          <w:b/>
          <w:bCs/>
        </w:rPr>
        <w:t xml:space="preserve">неотделимая часть регламента</w:t>
      </w:r>
      <w:r>
        <w:t xml:space="preserve">; Акты хранятся у ответственного</w:t>
      </w:r>
      <w:r>
        <w:t xml:space="preserve"> </w:t>
      </w:r>
      <w:r>
        <w:rPr>
          <w:b/>
          <w:bCs/>
        </w:rPr>
        <w:t xml:space="preserve">не менее 5 лет</w:t>
      </w:r>
    </w:p>
    <w:p>
      <w:pPr>
        <w:pStyle w:val="Compact"/>
        <w:numPr>
          <w:ilvl w:val="0"/>
          <w:numId w:val="1008"/>
        </w:numPr>
        <w:jc w:val="both"/>
        <w:shd w:val="clear" w:color="auto" w:fill="F2F2F2"/>
      </w:pPr>
      <w:r>
        <w:t xml:space="preserve">Для бумажных носителей укажите класс шредера (не ниже</w:t>
      </w:r>
      <w:r>
        <w:t xml:space="preserve"> </w:t>
      </w:r>
      <w:r>
        <w:rPr>
          <w:b/>
          <w:bCs/>
        </w:rPr>
        <w:t xml:space="preserve">P-4</w:t>
      </w:r>
      <w:r>
        <w:t xml:space="preserve">), для электронных — конкретное сертифицированное СЗИ, применяемое в организации</w:t>
      </w:r>
    </w:p>
    <w:p>
      <w:pPr>
        <w:pStyle w:val="Compact"/>
        <w:numPr>
          <w:ilvl w:val="0"/>
          <w:numId w:val="1008"/>
        </w:numPr>
        <w:jc w:val="both"/>
        <w:shd w:val="clear" w:color="auto" w:fill="F2F2F2"/>
      </w:pPr>
      <w:r>
        <w:t xml:space="preserve">Состав Комиссии (председатель + 2 члена) должен соответствовать приказу об утверждении состава Комиссии — оба документа издаются одновременно</w:t>
      </w:r>
    </w:p>
    <w:p>
      <w:pPr>
        <w:pStyle w:val="FirstParagraph"/>
        <w:jc w:val="both"/>
        <w:shd w:val="clear" w:color="auto" w:fill="F2F2F2"/>
      </w:pPr>
      <w:r>
        <w:rPr>
          <w:b/>
          <w:bCs/>
        </w:rPr>
        <w:t xml:space="preserve">Порядок утверждения:</w:t>
      </w:r>
    </w:p>
    <w:p>
      <w:pPr>
        <w:pStyle w:val="Compact"/>
        <w:numPr>
          <w:ilvl w:val="0"/>
          <w:numId w:val="1009"/>
        </w:numPr>
        <w:jc w:val="both"/>
        <w:shd w:val="clear" w:color="auto" w:fill="F2F2F2"/>
      </w:pPr>
      <w:r>
        <w:t xml:space="preserve">Подставить все переменные → 2. Согласовать с ответственным за ОПДн → 3. Издать приказ о введении в действие → 4. Ознакомить членов Комиссии под подпись → 5. Удалить эту страницу из экземпляра, передаваемого на хранение.</w:t>
      </w:r>
    </w:p>
    <w:bookmarkEnd w:id="32"/>
    <w:bookmarkEnd w:id="33"/>
    <w:sectPr w:rsidR="00FC693F" w:rsidRPr="0006063C" w:rsidSect="00034616">
      <w:headerReference r:id="rId9" w:type="default"/>
      <w:footerReference r:id="rId10" w:type="default"/>
      <w:pgSz w:h="15840" w:w="12240"/>
      <w:pgMar w:bottom="1134" w:footer="720" w:gutter="0" w:header="720" w:left="1417" w:right="1134" w:top="113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Bdr>
        <w:top w:val="single" w:sz="4" w:space="1" w:color="23A97E"/>
      </w:pBdr>
    </w:pPr>
    <w:r>
      <w:rPr>
        <w:rFonts w:ascii="PT Sans" w:hAnsi="PT Sans"/>
        <w:color w:val="888888"/>
        <w:sz w:val="16"/>
      </w:rPr>
      <w:t>152fz.cyberosnova.ru</w:t>
    </w:r>
    <w:r>
      <w:rPr>
        <w:rFonts w:ascii="PT Sans" w:hAnsi="PT Sans"/>
        <w:color w:val="AAAAAA"/>
        <w:sz w:val="16"/>
      </w:rPr>
      <w:t xml:space="preserve">  ·  </w:t>
    </w:r>
    <w:r>
      <w:rPr>
        <w:rFonts w:ascii="PT Sans" w:hAnsi="PT Sans"/>
        <w:color w:val="888888"/>
        <w:sz w:val="16"/>
      </w:rPr>
      <w:t xml:space="preserve">Страница </w:t>
    </w:r>
    <w:r>
      <w:rPr>
        <w:sz w:val="16"/>
      </w:rPr>
      <w:fldChar w:fldCharType="begin"/>
      <w:instrText xml:space="preserve"> PAGE </w:instrText>
      <w:fldChar w:fldCharType="end"/>
    </w:r>
    <w:r>
      <w:rPr>
        <w:rFonts w:ascii="PT Sans" w:hAnsi="PT Sans"/>
        <w:color w:val="888888"/>
        <w:sz w:val="16"/>
      </w:rPr>
      <w:t xml:space="preserve"> из </w:t>
    </w:r>
    <w:r>
      <w:rPr>
        <w:sz w:val="16"/>
      </w:rPr>
      <w:fldChar w:fldCharType="begin"/>
      <w:instrText xml:space="preserve"> NUMPAGES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6" w:space="1" w:color="23A97E"/>
      </w:pBdr>
    </w:pPr>
    <w:r>
      <w:rPr>
        <w:rFonts w:ascii="PT Sans" w:hAnsi="PT Sans"/>
        <w:b/>
        <w:color w:val="23A97E"/>
        <w:sz w:val="18"/>
      </w:rPr>
      <w:t>Кибероснова</w:t>
    </w:r>
    <w:r>
      <w:rPr>
        <w:rFonts w:ascii="PT Sans" w:hAnsi="PT Sans"/>
        <w:color w:val="888888"/>
        <w:sz w:val="18"/>
      </w:rPr>
      <w:t xml:space="preserve"> · </w:t>
    </w:r>
    <w:r>
      <w:rPr>
        <w:rFonts w:ascii="PT Sans" w:hAnsi="PT Sans"/>
        <w:color w:val="444444"/>
        <w:sz w:val="18"/>
      </w:rPr>
      <w:t>Регламент уничтожения персональных данных</w:t>
    </w: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rPr>
      <w:rFonts w:ascii="Calibri" w:cs="Calibri" w:eastAsia="Calibri" w:hAnsi="Calibri"/>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PT Sans" w:asciiTheme="majorHAnsi" w:cstheme="majorBidi" w:eastAsia="PT Sans" w:eastAsiaTheme="majorEastAsia" w:hAnsi="PT Sans" w:hAnsiTheme="majorHAnsi"/>
      <w:b/>
      <w:bCs/>
      <w:color w:val="000000"/>
      <w:sz w:val="26"/>
      <w:szCs w:val="28"/>
    </w:rPr>
  </w:style>
  <w:style w:styleId="Heading2" w:type="paragraph">
    <w:name w:val="heading 2"/>
    <w:basedOn w:val="Normal"/>
    <w:next w:val="Normal"/>
    <w:link w:val="Heading2Char"/>
    <w:uiPriority w:val="9"/>
    <w:unhideWhenUsed/>
    <w:qFormat/>
    <w:rsid w:val="00FC693F"/>
    <w:pPr>
      <w:keepNext/>
      <w:keepLines/>
      <w:spacing w:after="80" w:before="160"/>
      <w:outlineLvl w:val="1"/>
    </w:pPr>
    <w:rPr>
      <w:rFonts w:ascii="PT Sans" w:asciiTheme="majorHAnsi" w:cstheme="majorBidi" w:eastAsia="PT Sans" w:eastAsiaTheme="majorEastAsia" w:hAnsi="PT Sans" w:hAnsiTheme="majorHAnsi"/>
      <w:b/>
      <w:bCs/>
      <w:color w:val="000000"/>
      <w:sz w:val="24"/>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000000"/>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000000"/>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00000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00000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2026-06-05T15:33:21Z</dcterms:created>
  <dcterms:modified xsi:type="dcterms:W3CDTF">2026-06-05T15:33:21Z</dcterms:modified>
</cp:coreProperties>
</file>

<file path=docProps/custom.xml><?xml version="1.0" encoding="utf-8"?>
<Properties xmlns="http://schemas.openxmlformats.org/officeDocument/2006/custom-properties" xmlns:vt="http://schemas.openxmlformats.org/officeDocument/2006/docPropsVTypes"/>
</file>