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пользовательское-соглашение"/>
    <w:p>
      <w:pPr>
        <w:pStyle w:val="Heading1"/>
        <w:jc w:val="center"/>
      </w:pPr>
      <w:r>
        <w:rPr>
          <w:color w:val="000000"/>
        </w:rPr>
        <w:t xml:space="preserve">Пользовательское соглашение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123456, г. Москва, ул. Примерная, д. 1, офис 1</w:t>
      </w:r>
      <w:r>
        <w:t xml:space="preserve"> </w:t>
      </w:r>
      <w:r>
        <w:rPr>
          <w:b/>
          <w:bCs/>
        </w:rPr>
        <w:t xml:space="preserve">Дата публикации:</w:t>
      </w:r>
      <w:r>
        <w:t xml:space="preserve"> </w:t>
      </w:r>
      <w:r>
        <w:rPr>
          <w:shd w:val="clear" w:color="auto" w:fill="C6EFCE"/>
        </w:rPr>
        <w:t xml:space="preserve">05.06.2026</w:t>
      </w:r>
      <w:r>
        <w:t xml:space="preserve"> </w:t>
      </w:r>
      <w:r>
        <w:rPr>
          <w:b/>
          <w:bCs/>
        </w:rPr>
        <w:t xml:space="preserve">Срок действия:</w:t>
      </w:r>
      <w:r>
        <w:t xml:space="preserve"> </w:t>
      </w:r>
      <w:r>
        <w:t xml:space="preserve">бессрочно, до замены новой редакцией</w:t>
      </w:r>
    </w:p>
    <w:p>
      <w:pPr>
        <w:pStyle w:val="BodyText"/>
        <w:jc w:val="both"/>
      </w:pPr>
      <w:r>
        <w:t xml:space="preserve">Общество с ограниченной ответственностью «</w:t>
      </w:r>
      <w:r>
        <w:rPr>
          <w:shd w:val="clear" w:color="auto" w:fill="C6EFCE"/>
        </w:rPr>
        <w:t xml:space="preserve">ООО «Ромашка»</w:t>
      </w:r>
      <w:r>
        <w:t xml:space="preserve">» (ИНН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, далее — Компания) открывает доступ к сервису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 </w:t>
      </w:r>
      <w:r>
        <w:t xml:space="preserve">(далее — Сервис) на условиях, изложенных ниже. Любое лицо, которое переходит к работе с Сервисом, именуется Пользователем.</w:t>
      </w:r>
    </w:p>
    <w:bookmarkStart w:id="22" w:name="Xc4211d805ccb1d1758c2b033f718de644cb7c63"/>
    <w:p>
      <w:pPr>
        <w:pStyle w:val="Heading2"/>
        <w:jc w:val="left"/>
      </w:pPr>
      <w:r>
        <w:rPr>
          <w:color w:val="000000"/>
        </w:rPr>
        <w:t xml:space="preserve">1. Общие положения</w:t>
      </w:r>
    </w:p>
    <w:p>
      <w:pPr>
        <w:pStyle w:val="FirstParagraph"/>
        <w:jc w:val="both"/>
      </w:pPr>
      <w:r>
        <w:t xml:space="preserve">Настоящее Соглашение является договором присоединения в соответствии со статьёй 428 Гражданского кодекса Российской Федерации: его условия определены Компанией и могут быть приняты Пользователем не иначе как путём присоединения к Соглашению в целом.</w:t>
      </w:r>
    </w:p>
    <w:p>
      <w:pPr>
        <w:pStyle w:val="BodyText"/>
        <w:jc w:val="both"/>
      </w:pPr>
      <w:r>
        <w:t xml:space="preserve">Факт начала работы с Сервисом — регистрация, авторизация или любое иное взаимодействие с его функциональностью — означает, что Пользователь ознакомился с текстом Соглашения и принял его без оговорок. Если какое-либо из условий неприемлемо, следует воздержаться от использования Сервиса.</w:t>
      </w:r>
    </w:p>
    <w:p>
      <w:pPr>
        <w:pStyle w:val="BodyText"/>
        <w:jc w:val="both"/>
      </w:pPr>
      <w:r>
        <w:t xml:space="preserve">Изменение условий Соглашения осуществляется Компанией в порядке, предусмотренном статьями 450–453 Гражданского кодекса Российской Федерации.</w:t>
      </w:r>
    </w:p>
    <w:p>
      <w:pPr>
        <w:pStyle w:val="BodyText"/>
        <w:jc w:val="both"/>
      </w:pPr>
      <w:r>
        <w:t xml:space="preserve">Компания публикует актуальную редакцию Соглашения по адресу: ~~</w:t>
      </w:r>
      <w:hyperlink r:id="rId21">
        <w:r>
          <w:rPr>
            <w:rStyle w:val="Hyperlink"/>
          </w:rPr>
          <w:t xml:space="preserve">www.romashka.ru~~/terms</w:t>
        </w:r>
      </w:hyperlink>
      <w:r>
        <w:t xml:space="preserve">. Продолжение работы с Сервисом после размещения обновлённой версии означает согласие с внесёнными изменениями. Пользователь вправе прекратить использование Сервиса, если изменённые условия его не устраивают.</w:t>
      </w:r>
    </w:p>
    <w:bookmarkEnd w:id="22"/>
    <w:bookmarkStart w:id="24" w:name="X9c08ce849cd5751e3e6e8a4f2ed2094deb72648"/>
    <w:p>
      <w:pPr>
        <w:pStyle w:val="Heading2"/>
        <w:jc w:val="left"/>
      </w:pPr>
      <w:r>
        <w:rPr>
          <w:color w:val="000000"/>
        </w:rPr>
        <w:t xml:space="preserve">2. Предмет Соглашения</w:t>
      </w:r>
    </w:p>
    <w:p>
      <w:pPr>
        <w:pStyle w:val="FirstParagraph"/>
        <w:jc w:val="both"/>
      </w:pPr>
      <w:r>
        <w:t xml:space="preserve">Компания предоставляет Пользователю доступ к функциям Сервиса на безвозмездной или возмездной основе в зависимости от выбранного тарифного плана. Объём доступных возможностей определяется выбранным тарифом и может изменяться в соответствии с актуальными условиями на ~~</w:t>
      </w:r>
      <w:hyperlink r:id="rId23">
        <w:r>
          <w:rPr>
            <w:rStyle w:val="Hyperlink"/>
          </w:rPr>
          <w:t xml:space="preserve">www.romashka.ru~~/pricing</w:t>
        </w:r>
      </w:hyperlink>
      <w:r>
        <w:t xml:space="preserve">.</w:t>
      </w:r>
    </w:p>
    <w:p>
      <w:pPr>
        <w:pStyle w:val="BodyText"/>
        <w:jc w:val="both"/>
      </w:pPr>
      <w:r>
        <w:t xml:space="preserve">Сервис предназначен для автоматизированного формирования документации по требованиям законодательства о персональных данных и информационной безопасности. Все генерируемые материалы носят справочно-методический характер и не являются юридической консультацией.</w:t>
      </w:r>
    </w:p>
    <w:bookmarkEnd w:id="24"/>
    <w:bookmarkStart w:id="25" w:name="X23c35083b3692366b634d1f3fedf964c56936c0"/>
    <w:p>
      <w:pPr>
        <w:pStyle w:val="Heading2"/>
        <w:jc w:val="left"/>
      </w:pPr>
      <w:r>
        <w:rPr>
          <w:color w:val="000000"/>
        </w:rPr>
        <w:t xml:space="preserve">3. Права и обязанности Пользователя</w:t>
      </w:r>
    </w:p>
    <w:p>
      <w:pPr>
        <w:pStyle w:val="FirstParagraph"/>
        <w:jc w:val="both"/>
      </w:pPr>
      <w:r>
        <w:t xml:space="preserve">Пользователь вправе: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работать с Сервисом в рамках его задокументированной функциональности;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получать техническую поддержку в объёме, предусмотренном выбранным тарифом;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запрашивать сведения об обработке своих персональных данных (ст. 14 Федерального закона от 27.07.2006 № 152-ФЗ «О персональных данных»).</w:t>
      </w:r>
    </w:p>
    <w:p>
      <w:pPr>
        <w:pStyle w:val="FirstParagraph"/>
        <w:jc w:val="both"/>
      </w:pPr>
      <w:r>
        <w:t xml:space="preserve">В соответствии со статьёй 14 Федерального закона от 27.07.2006 № 152-ФЗ Пользователь имеет право на получение сведений об операторе персональных данных, о месте его нахождения, о наличии у оператора персональных данных, относящихся к соответствующему субъекту персональных данных, а также на ознакомление с такими персональными данными.</w:t>
      </w:r>
    </w:p>
    <w:p>
      <w:pPr>
        <w:pStyle w:val="BodyText"/>
        <w:jc w:val="both"/>
      </w:pPr>
      <w:r>
        <w:t xml:space="preserve">Пользователь берёт на себя следующие обязательства: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не предпринимать действий, направленных на нарушение работы Сервиса или его инфраструктуры;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не применять средства автоматизированного сбора данных (парсеры, боты, краулеры) без письменного согласования с Компанией;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не передавать учётные данные третьим лицам и уведомлять Компанию при подозрении на несанкционированный доступ;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использовать Сервис исключительно в законных целях и в соответствии с применимым законодательством Российской Федерации.</w:t>
      </w:r>
    </w:p>
    <w:bookmarkEnd w:id="25"/>
    <w:bookmarkStart w:id="26" w:name="Xb15cde9e7bbde3710199c8c1270601f4ddd728e"/>
    <w:p>
      <w:pPr>
        <w:pStyle w:val="Heading2"/>
        <w:jc w:val="left"/>
      </w:pPr>
      <w:r>
        <w:rPr>
          <w:color w:val="000000"/>
        </w:rPr>
        <w:t xml:space="preserve">4. Права и обязанности Компании</w:t>
      </w:r>
    </w:p>
    <w:p>
      <w:pPr>
        <w:pStyle w:val="FirstParagraph"/>
        <w:jc w:val="both"/>
      </w:pPr>
      <w:r>
        <w:t xml:space="preserve">Компания принимает на себя следующие обязательства: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поддерживать работоспособность Сервиса в режиме 24/7, за исключением периодов планового обслуживания и обстоятельств непреодолимой силы;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заблаговременно информировать Пользователей о плановых технических работах, влияющих на доступность Сервиса;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обрабатывать персональные данные Пользователей с соблюдением требований Федерального закона от 27.07.2006 № 152-ФЗ.</w:t>
      </w:r>
    </w:p>
    <w:p>
      <w:pPr>
        <w:pStyle w:val="FirstParagraph"/>
        <w:jc w:val="both"/>
      </w:pPr>
      <w:r>
        <w:t xml:space="preserve">Компания оставляет за собой право: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ограничивать или прекращать доступ Пользователя к Сервису при нарушении условий Соглашения или требований действующего законодательства;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вносить изменения в функциональность Сервиса, вводить новые инструменты или прекращать поддержку отдельных функций с предварительным уведомлением Пользователей;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передавать права и обязанности по Соглашению третьим лицам при реорганизации Компании, уведомив Пользователей не позднее чем за 30 дней.</w:t>
      </w:r>
    </w:p>
    <w:bookmarkEnd w:id="26"/>
    <w:bookmarkStart w:id="28" w:name="Xea700991e2abf39de006745db4f043bdd654ce6"/>
    <w:p>
      <w:pPr>
        <w:pStyle w:val="Heading2"/>
        <w:jc w:val="left"/>
      </w:pPr>
      <w:r>
        <w:rPr>
          <w:color w:val="000000"/>
        </w:rPr>
        <w:t xml:space="preserve">5. Обработка персональных данных</w:t>
      </w:r>
    </w:p>
    <w:p>
      <w:pPr>
        <w:pStyle w:val="FirstParagraph"/>
        <w:jc w:val="both"/>
      </w:pPr>
      <w:r>
        <w:t xml:space="preserve">Основанием для обработки персональных данных Пользователя является его согласие, полученное в соответствии с пунктом 1 части 1 статьи 6 Федерального закона от 27.07.2006 № 152-ФЗ «О персональных данных».</w:t>
      </w:r>
    </w:p>
    <w:p>
      <w:pPr>
        <w:pStyle w:val="BodyText"/>
        <w:jc w:val="both"/>
      </w:pPr>
      <w:r>
        <w:t xml:space="preserve">Исчерпывающий перечень обрабатываемых категорий данных, цели и сроки обработки, а также порядок их защиты закреплены в Политике конфиденциальности, опубликованной по адресу: ~~</w:t>
      </w:r>
      <w:hyperlink r:id="rId27">
        <w:r>
          <w:rPr>
            <w:rStyle w:val="Hyperlink"/>
          </w:rPr>
          <w:t xml:space="preserve">www.romashka.ru~~/privacy</w:t>
        </w:r>
      </w:hyperlink>
      <w:r>
        <w:t xml:space="preserve">. Политика конфиденциальности является неотъемлемой частью настоящего Соглашения.</w:t>
      </w:r>
    </w:p>
    <w:p>
      <w:pPr>
        <w:pStyle w:val="BodyText"/>
        <w:jc w:val="both"/>
      </w:pPr>
      <w:r>
        <w:t xml:space="preserve">В целях ведения бухгалтерского учёта и обработки платёжных операций Компания вправе передавать данные Пользователей третьим лицам. Передача данных осуществляется строго в объёме, необходимом для достижения заявленной цели, и оформляется договором с обязательным условием соблюдения конфиденциальности.</w:t>
      </w:r>
    </w:p>
    <w:p>
      <w:pPr>
        <w:pStyle w:val="BodyText"/>
        <w:jc w:val="both"/>
      </w:pPr>
      <w:r>
        <w:t xml:space="preserve">Пользователь вправе в любое время отозвать согласие на обработку персональных данных, направив соответствующее обращение по реквизитам, указанным в разделе 10 настоящего Соглашения. Отзыв согласия не влечёт автоматического прекращения обработки данных, если такая обработка предусмотрена иным законным основанием (часть 4 статьи 9 Федерального закона от 27.07.2006 № 152-ФЗ).</w:t>
      </w:r>
    </w:p>
    <w:bookmarkEnd w:id="28"/>
    <w:bookmarkStart w:id="29" w:name="Xf48b87656701f3322146edc5e78e0fd78334145"/>
    <w:p>
      <w:pPr>
        <w:pStyle w:val="Heading2"/>
        <w:jc w:val="left"/>
      </w:pPr>
      <w:r>
        <w:rPr>
          <w:color w:val="000000"/>
        </w:rPr>
        <w:t xml:space="preserve">6. Права субъекта персональных данных (ст. 14 152-ФЗ)</w:t>
      </w:r>
    </w:p>
    <w:p>
      <w:pPr>
        <w:pStyle w:val="FirstParagraph"/>
        <w:jc w:val="both"/>
      </w:pPr>
      <w:r>
        <w:t xml:space="preserve">Пользователь как субъект персональных данных вправе требовать от Компании: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уточнения, блокирования или уничтожения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прекращения обработки и уничтожения персональных данных в случаях, предусмотренных законодательством Российской Федерации;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принятия предусмотренных законом мер по защите своих прав.</w:t>
      </w:r>
    </w:p>
    <w:p>
      <w:pPr>
        <w:pStyle w:val="FirstParagraph"/>
        <w:jc w:val="both"/>
      </w:pPr>
      <w:r>
        <w:t xml:space="preserve">Запрос на реализацию прав направляется в письменном виде по электронной почте или почтой на реквизиты, указанные в разделе 10. Компания рассматривает обращения в сроки, установленные статьёй 20 Федерального закона от 27.07.2006 № 152-ФЗ.</w:t>
      </w:r>
    </w:p>
    <w:bookmarkEnd w:id="29"/>
    <w:bookmarkStart w:id="30" w:name="Xf0b4727b77d2d58e9bcce2381d8f1a68f83415f"/>
    <w:p>
      <w:pPr>
        <w:pStyle w:val="Heading2"/>
        <w:jc w:val="left"/>
      </w:pPr>
      <w:r>
        <w:rPr>
          <w:color w:val="000000"/>
        </w:rPr>
        <w:t xml:space="preserve">7. Ответственность и ограничения</w:t>
      </w:r>
    </w:p>
    <w:p>
      <w:pPr>
        <w:pStyle w:val="FirstParagraph"/>
        <w:jc w:val="both"/>
      </w:pPr>
      <w:r>
        <w:t xml:space="preserve">Компания не несёт ответственности за временную недоступность Сервиса, вызванную плановыми техническими работами, действиями третьих лиц или обстоятельствами непреодолимой силы (форс-мажор), включая сбои в работе сетей связи, энергоснабжения и иной инфраструктуры.</w:t>
      </w:r>
    </w:p>
    <w:p>
      <w:pPr>
        <w:pStyle w:val="BodyText"/>
        <w:jc w:val="both"/>
      </w:pPr>
      <w:r>
        <w:t xml:space="preserve">Сервис предоставляется «как есть» (as is). Компания не гарантирует, что генерируемые документы полностью соответствуют специфике деятельности конкретного Пользователя. Итоговые документы рекомендуется проверять у квалифицированного специалиста в области права перед официальным применением.</w:t>
      </w:r>
    </w:p>
    <w:bookmarkEnd w:id="30"/>
    <w:bookmarkStart w:id="31" w:name="X736cdbace3ecccb760fadf7e9227d7cf2a2a8c5"/>
    <w:p>
      <w:pPr>
        <w:pStyle w:val="Heading2"/>
        <w:jc w:val="left"/>
      </w:pPr>
      <w:r>
        <w:rPr>
          <w:color w:val="000000"/>
        </w:rPr>
        <w:t xml:space="preserve">8. Порядок разрешения споров</w:t>
      </w:r>
    </w:p>
    <w:p>
      <w:pPr>
        <w:pStyle w:val="FirstParagraph"/>
        <w:jc w:val="both"/>
      </w:pPr>
      <w:r>
        <w:t xml:space="preserve">Все разногласия, возникающие в связи с исполнением настоящего Соглашения, стороны стремятся урегулировать путём прямых переговоров. Досудебный претензионный порядок является обязательным: срок ответа на претензию — 30 календарных дней с даты её получения.</w:t>
      </w:r>
    </w:p>
    <w:p>
      <w:pPr>
        <w:pStyle w:val="BodyText"/>
        <w:jc w:val="both"/>
      </w:pPr>
      <w:r>
        <w:t xml:space="preserve">Если переговоры не привели к результату, спор передаётся на рассмотрение компетентного суда по месту нахождения Компании в соответствии с законодательством Российской Федерации.</w:t>
      </w:r>
    </w:p>
    <w:bookmarkEnd w:id="31"/>
    <w:bookmarkStart w:id="32" w:name="Xa057afbfd1dc3276c82399f1fc4f7d07cbd5582"/>
    <w:p>
      <w:pPr>
        <w:pStyle w:val="Heading2"/>
        <w:jc w:val="left"/>
      </w:pPr>
      <w:r>
        <w:rPr>
          <w:color w:val="000000"/>
        </w:rPr>
        <w:t xml:space="preserve">9. Срок действия и прекращение Соглашения</w:t>
      </w:r>
    </w:p>
    <w:p>
      <w:pPr>
        <w:pStyle w:val="FirstParagraph"/>
        <w:jc w:val="both"/>
      </w:pPr>
      <w:r>
        <w:t xml:space="preserve">Соглашение действует с момента начала использования Сервиса Пользователем и на неопределённый срок. Каждая из сторон вправе прекратить отношения в одностороннем порядке: Пользователь — путём прекращения использования Сервиса и удаления учётной записи, Компания — направив уведомление не менее чем за 30 дней.</w:t>
      </w:r>
    </w:p>
    <w:bookmarkEnd w:id="32"/>
    <w:bookmarkStart w:id="34" w:name="Xed7ca3288542088615f6e75b8d7d2b5245fa015"/>
    <w:p>
      <w:pPr>
        <w:pStyle w:val="Heading2"/>
        <w:jc w:val="left"/>
      </w:pPr>
      <w:r>
        <w:rPr>
          <w:color w:val="000000"/>
        </w:rPr>
        <w:t xml:space="preserve">10. Контактная информация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(ООО «Кибероснова»)</w:t>
      </w:r>
      <w:r>
        <w:t xml:space="preserve"> </w:t>
      </w:r>
      <w:r>
        <w:t xml:space="preserve">ИНН: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 </w:t>
      </w:r>
      <w:r>
        <w:t xml:space="preserve">Юридический адрес: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 </w:t>
      </w:r>
      <w:r>
        <w:t xml:space="preserve">Электронная почта:</w:t>
      </w:r>
      <w:r>
        <w:t xml:space="preserve"> </w:t>
      </w:r>
      <w:hyperlink r:id="rId33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 </w:t>
      </w:r>
      <w:r>
        <w:t xml:space="preserve">Телефон:</w:t>
      </w:r>
      <w:r>
        <w:t xml:space="preserve"> </w:t>
      </w:r>
      <w:r>
        <w:rPr>
          <w:shd w:val="clear" w:color="auto" w:fill="C6EFCE"/>
        </w:rPr>
        <w:t xml:space="preserve">+7 (495) 000-00-00</w:t>
      </w:r>
      <w:r>
        <w:t xml:space="preserve"> </w:t>
      </w:r>
      <w:r>
        <w:t xml:space="preserve">Сайт: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</w:p>
    <w:p>
      <w:pPr>
        <w:pStyle w:val="BodyText"/>
        <w:jc w:val="both"/>
      </w:pPr>
      <w:r>
        <w:t xml:space="preserve">По вопросам обработки персональных данных:</w:t>
      </w:r>
      <w:r>
        <w:t xml:space="preserve"> </w:t>
      </w:r>
      <w:hyperlink r:id="rId33">
        <w:r>
          <w:rPr>
            <w:rStyle w:val="Hyperlink"/>
            <w:shd w:val="clear" w:color="auto" w:fill="C6EFCE"/>
          </w:rPr>
          <w:t xml:space="preserve">privacy@romashka.ru</w:t>
        </w:r>
      </w:hyperlink>
    </w:p>
    <w:bookmarkEnd w:id="34"/>
    <w:bookmarkStart w:id="36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адаптации и публикации документа. Удалите страницу перед публикацией соглашения на сайте.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Что это за документ:</w:t>
      </w:r>
      <w:r>
        <w:t xml:space="preserve"> </w:t>
      </w:r>
      <w:r>
        <w:t xml:space="preserve">Пользовательское соглашение — договор присоединения (ст. 428 ГК РФ). Вступает в силу с момента начала использования сервиса. Охватывает: условия доступа, обработку ПДн (152-ФЗ ст. 6, ст. 9, ст. 14), права и обязанности сторон, порядок изменений (ст. 450–453 ГК РФ).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— что подставить: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краткое наименование юрлица, например: ООО «Ромашка»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 </w:t>
      </w:r>
      <w:r>
        <w:t xml:space="preserve">— ИНН организации (10 цифр для ООО/АО, 12 для ИП)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наименование: Общество с ограниченной ответственностью «Ромашка»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юридический адрес из ЕГРЮЛ (точно как в реестре)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официальный e-mail для обращений (не личный)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~~+7 (495) 000-00-00~~</w:t>
      </w:r>
      <w:r>
        <w:t xml:space="preserve"> </w:t>
      </w:r>
      <w:r>
        <w:t xml:space="preserve">— телефон организации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~~www.romashka.ru~~</w:t>
      </w:r>
      <w:r>
        <w:t xml:space="preserve"> </w:t>
      </w:r>
      <w:r>
        <w:t xml:space="preserve">— домен без протокола, например: romashka.ru (подставляется в 4 местах: ссылки на /terms, /pricing, /privacy)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~~05.06.2026~~</w:t>
      </w:r>
      <w:r>
        <w:t xml:space="preserve"> </w:t>
      </w:r>
      <w:r>
        <w:t xml:space="preserve">— дата публикации новой редакции в формате ДД.ММ.ГГГГ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Проверить перед публикацией: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Политика конфиденциальности опубликована по адресу</w:t>
      </w:r>
      <w:r>
        <w:t xml:space="preserve"> </w:t>
      </w:r>
      <w:r>
        <w:rPr>
          <w:rStyle w:val="VerbatimChar"/>
        </w:rPr>
        <w:t xml:space="preserve">~~www.romashka.ru~~/privacy</w:t>
      </w:r>
      <w:r>
        <w:t xml:space="preserve"> </w:t>
      </w:r>
      <w:r>
        <w:t xml:space="preserve">— раздел 5 ссылается на неё как на неотъемлемую часть соглашения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Страница</w:t>
      </w:r>
      <w:r>
        <w:t xml:space="preserve"> </w:t>
      </w:r>
      <w:r>
        <w:rPr>
          <w:rStyle w:val="VerbatimChar"/>
        </w:rPr>
        <w:t xml:space="preserve">/terms</w:t>
      </w:r>
      <w:r>
        <w:t xml:space="preserve"> </w:t>
      </w:r>
      <w:r>
        <w:t xml:space="preserve">существует и отдаёт актуальную редакцию — на неё ссылается раздел 1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В разделе 10 указана актуальная почта для запросов по ПДн (сейчас прописан адрес</w:t>
      </w:r>
      <w:r>
        <w:t xml:space="preserve"> </w:t>
      </w:r>
      <w:hyperlink r:id="rId35">
        <w:r>
          <w:rPr>
            <w:rStyle w:val="Hyperlink"/>
          </w:rPr>
          <w:t xml:space="preserve">privacy@cyberosnova.ru</w:t>
        </w:r>
      </w:hyperlink>
      <w:r>
        <w:t xml:space="preserve"> </w:t>
      </w:r>
      <w:r>
        <w:t xml:space="preserve">— замените на свой)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Срок ответа на претензии — 30 дней (раздел 8); срок уведомления при прекращении — 30 дней (раздел 9); оба срока фиксированы, не менять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 и сроки: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Каждую редакцию архивировать с датой публикации — изменение условий регулируется ст. 450–453 ГК РФ, факт уведомления пользователей должен быть документирован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Срок хранения соглашений — не менее 3 лет с момента прекращения отношений с пользователем (ГК РФ общий срок исковой давности)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Отзыв согласия на ПДн (ч. 4 ст. 9 152-ФЗ) не прекращает обработку автоматически, если есть иное законное основание — убедитесь, что ваша Политика конфиденциальности это отражает</w:t>
      </w:r>
    </w:p>
    <w:bookmarkEnd w:id="36"/>
    <w:bookmarkEnd w:id="37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Пользовательское соглашение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0" Type="http://schemas.openxmlformats.org/officeDocument/2006/relationships/hyperlink" Target="http://www.romashka.ru" TargetMode="External"/><Relationship Id="rId23" Type="http://schemas.openxmlformats.org/officeDocument/2006/relationships/hyperlink" Target="http://www.romashka.ru~~/pricing" TargetMode="External"/><Relationship Id="rId27" Type="http://schemas.openxmlformats.org/officeDocument/2006/relationships/hyperlink" Target="http://www.romashka.ru~~/privacy" TargetMode="External"/><Relationship Id="rId21" Type="http://schemas.openxmlformats.org/officeDocument/2006/relationships/hyperlink" Target="http://www.romashka.ru~~/terms" TargetMode="External"/><Relationship Id="rId35" Type="http://schemas.openxmlformats.org/officeDocument/2006/relationships/hyperlink" Target="mailto:privacy@cyberosnova.ru" TargetMode="External"/><Relationship Id="rId33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0" Type="http://schemas.openxmlformats.org/officeDocument/2006/relationships/hyperlink" Target="http://www.romashka.ru" TargetMode="External"/><Relationship Id="rId23" Type="http://schemas.openxmlformats.org/officeDocument/2006/relationships/hyperlink" Target="http://www.romashka.ru~~/pricing" TargetMode="External"/><Relationship Id="rId27" Type="http://schemas.openxmlformats.org/officeDocument/2006/relationships/hyperlink" Target="http://www.romashka.ru~~/privacy" TargetMode="External"/><Relationship Id="rId21" Type="http://schemas.openxmlformats.org/officeDocument/2006/relationships/hyperlink" Target="http://www.romashka.ru~~/terms" TargetMode="External"/><Relationship Id="rId35" Type="http://schemas.openxmlformats.org/officeDocument/2006/relationships/hyperlink" Target="mailto:privacy@cyberosnova.ru" TargetMode="External"/><Relationship Id="rId33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2026-06-05T15:33:21Z</dcterms:created>
  <dcterms:modified xsi:type="dcterms:W3CDTF">2026-06-05T15:33:21Z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