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PT Sans" w:hAnsi="PT Sans" w:eastAsia="PT Sans"/>
          <w:b w:val="0"/>
          <w:sz w:val="22"/>
        </w:rPr>
        <w:t>---</w:t>
      </w:r>
    </w:p>
    <w:p>
      <w:r>
        <w:rPr>
          <w:rFonts w:ascii="PT Sans" w:hAnsi="PT Sans" w:eastAsia="PT Sans"/>
          <w:b w:val="0"/>
          <w:sz w:val="22"/>
        </w:rPr>
        <w:t>slug: model-ugroz-kii</w:t>
      </w:r>
    </w:p>
    <w:p>
      <w:r>
        <w:rPr>
          <w:rFonts w:ascii="PT Sans" w:hAnsi="PT Sans" w:eastAsia="PT Sans"/>
          <w:b w:val="0"/>
          <w:sz w:val="22"/>
        </w:rPr>
        <w:t>sources_used: [own, 187-fz, fstec-239, fstec-methodology-2021]</w:t>
      </w:r>
    </w:p>
    <w:p>
      <w:r>
        <w:rPr>
          <w:rFonts w:ascii="PT Sans" w:hAnsi="PT Sans" w:eastAsia="PT Sans"/>
          <w:b w:val="0"/>
          <w:sz w:val="22"/>
        </w:rPr>
        <w:t>npa_coverage: [187-ФЗ ст.7, ст.9, Приказ ФСТЭК №239, Методика ФСТЭК 2021]</w:t>
      </w:r>
    </w:p>
    <w:p>
      <w:r>
        <w:rPr>
          <w:rFonts w:ascii="PT Sans" w:hAnsi="PT Sans" w:eastAsia="PT Sans"/>
          <w:b w:val="0"/>
          <w:sz w:val="22"/>
        </w:rPr>
        <w:t>verification: PASS (3/3)</w:t>
      </w:r>
    </w:p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jc w:val="right"/>
      </w:pPr>
      <w:r>
        <w:rPr>
          <w:rFonts w:ascii="PT Sans" w:hAnsi="PT Sans" w:eastAsia="PT Sans"/>
          <w:b/>
          <w:sz w:val="22"/>
        </w:rPr>
        <w:t>УТВЕРЖДАЮ</w:t>
      </w:r>
    </w:p>
    <w:p>
      <w:pPr>
        <w:jc w:val="right"/>
      </w:pPr>
      <w:r>
        <w:rPr>
          <w:rFonts w:ascii="PT Sans" w:hAnsi="PT Sans" w:eastAsia="PT Sans"/>
          <w:b w:val="0"/>
          <w:sz w:val="22"/>
        </w:rPr>
        <w:t>Генеральный директор</w:t>
      </w:r>
    </w:p>
    <w:p>
      <w:pPr>
        <w:jc w:val="right"/>
      </w:pPr>
      <w:r>
        <w:rPr>
          <w:rFonts w:ascii="PT Sans" w:hAnsi="PT Sans" w:eastAsia="PT Sans"/>
          <w:b w:val="0"/>
          <w:sz w:val="22"/>
        </w:rPr>
        <w:t>ООО «Кибероснова»</w:t>
      </w:r>
    </w:p>
    <w:p>
      <w:pPr>
        <w:jc w:val="right"/>
      </w:pPr>
      <w:r>
        <w:rPr>
          <w:rFonts w:ascii="PT Sans" w:hAnsi="PT Sans" w:eastAsia="PT Sans"/>
          <w:b w:val="0"/>
          <w:sz w:val="22"/>
        </w:rPr>
        <w:t>____________ Иванов И.И.</w:t>
      </w:r>
    </w:p>
    <w:p>
      <w:pPr>
        <w:jc w:val="right"/>
      </w:pPr>
      <w:r>
        <w:rPr>
          <w:rFonts w:ascii="PT Sans" w:hAnsi="PT Sans" w:eastAsia="PT Sans"/>
          <w:b w:val="0"/>
          <w:sz w:val="22"/>
        </w:rPr>
        <w:t>«____» ____________ 2026 год</w:t>
      </w:r>
    </w:p>
    <w:p>
      <w:pPr>
        <w:pStyle w:val="Heading1"/>
      </w:pPr>
      <w:r>
        <w:t>Модель угроз безопасности значимого объекта критической информационной инфраструктуры</w:t>
      </w:r>
    </w:p>
    <w:p/>
    <w:p>
      <w:r>
        <w:rPr>
          <w:rFonts w:ascii="PT Sans" w:hAnsi="PT Sans" w:eastAsia="PT Sans"/>
          <w:b/>
          <w:sz w:val="22"/>
        </w:rPr>
        <w:t>ОБЩЕСТВО С ОГРАНИЧЕННОЙ ОТВЕТСТВЕННОСТЬЮ «КИБЕРОСНОВА»</w:t>
      </w:r>
    </w:p>
    <w:p/>
    <w:p>
      <w:r>
        <w:rPr>
          <w:rFonts w:ascii="PT Sans" w:hAnsi="PT Sans" w:eastAsia="PT Sans"/>
          <w:b w:val="0"/>
          <w:sz w:val="22"/>
        </w:rPr>
        <w:t>Версия 1.0 · 2026 год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1. Введение</w:t>
      </w:r>
    </w:p>
    <w:p/>
    <w:p>
      <w:r>
        <w:rPr>
          <w:rFonts w:ascii="PT Sans" w:hAnsi="PT Sans" w:eastAsia="PT Sans"/>
          <w:b w:val="0"/>
          <w:sz w:val="22"/>
        </w:rPr>
        <w:t>Настоящая модель угроз безопасности информации (далее — Модель угроз) разработана для значимого объекта критической информационной инфраструктуры (далее — ЗОКИИ) ОБЩЕСТВО С ОГРАНИЧЕННОЙ ОТВЕТСТВЕННОСТЬЮ «КИБЕРОСНОВА» (далее — Организация).</w:t>
      </w:r>
    </w:p>
    <w:p/>
    <w:p>
      <w:r>
        <w:rPr>
          <w:rFonts w:ascii="PT Sans" w:hAnsi="PT Sans" w:eastAsia="PT Sans"/>
          <w:b w:val="0"/>
          <w:sz w:val="22"/>
        </w:rPr>
        <w:t>[NPA_REQUIRED] Модель угроз разработана в соответствии с:</w:t>
      </w:r>
    </w:p>
    <w:p>
      <w:pPr>
        <w:pStyle w:val="ListBullet"/>
      </w:pPr>
      <w:r>
        <w:rPr>
          <w:rFonts w:ascii="PT Sans" w:hAnsi="PT Sans"/>
          <w:sz w:val="22"/>
        </w:rPr>
        <w:t>Федеральным законом от 26.07.2017 № 187-ФЗ «О безопасности критической информационной инфраструктуры Российской Федерации», ст. 7, 9;</w:t>
      </w:r>
    </w:p>
    <w:p>
      <w:pPr>
        <w:pStyle w:val="ListBullet"/>
      </w:pPr>
      <w:r>
        <w:rPr>
          <w:rFonts w:ascii="PT Sans" w:hAnsi="PT Sans"/>
          <w:sz w:val="22"/>
        </w:rPr>
        <w:t>Приказом ФСТЭК России от 25.12.2017 № 239 «Об утверждении требований по обеспечению безопасности значимых объектов КИИ»;</w:t>
      </w:r>
    </w:p>
    <w:p>
      <w:pPr>
        <w:pStyle w:val="ListBullet"/>
      </w:pPr>
      <w:r>
        <w:rPr>
          <w:rFonts w:ascii="PT Sans" w:hAnsi="PT Sans"/>
          <w:sz w:val="22"/>
        </w:rPr>
        <w:t>Методикой оценки угроз безопасности информации, утверждённой ФСТЭК России в 2021 году;</w:t>
      </w:r>
    </w:p>
    <w:p>
      <w:pPr>
        <w:pStyle w:val="ListBullet"/>
      </w:pPr>
      <w:r>
        <w:rPr>
          <w:rFonts w:ascii="PT Sans" w:hAnsi="PT Sans"/>
          <w:sz w:val="22"/>
        </w:rPr>
        <w:t>Банком данных угроз безопасности информации ФСТЭК России (bdu.fstec.ru).</w:t>
      </w:r>
    </w:p>
    <w:p/>
    <w:p>
      <w:r>
        <w:rPr>
          <w:rFonts w:ascii="PT Sans" w:hAnsi="PT Sans" w:eastAsia="PT Sans"/>
          <w:b w:val="0"/>
          <w:sz w:val="22"/>
        </w:rPr>
        <w:t>Цель Модели угроз — идентификация актуальных угроз безопасности информации, обрабатываемой на ЗОКИИ, для обоснования выбора мер защиты информации в соответствии с установленной категорией значимости.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2. Характеристика значимого объекта КИИ</w:t>
      </w:r>
    </w:p>
    <w:p/>
    <w:p>
      <w:pPr>
        <w:pStyle w:val="Heading3"/>
      </w:pPr>
      <w:r>
        <w:t>2.1. Описание объекта</w:t>
      </w:r>
    </w:p>
    <w:p/>
    <w:p>
      <w:r>
        <w:rPr>
          <w:rFonts w:ascii="PT Sans" w:hAnsi="PT Sans" w:eastAsia="PT Sans"/>
          <w:b w:val="0"/>
          <w:sz w:val="22"/>
        </w:rPr>
        <w:t>Наименование ЗОКИИ: ООО «Кибероснова» — [краткое описание объекта, например: автоматизированная система управления технологическим процессом].</w:t>
      </w:r>
    </w:p>
    <w:p/>
    <w:p>
      <w:r>
        <w:rPr>
          <w:rFonts w:ascii="PT Sans" w:hAnsi="PT Sans" w:eastAsia="PT Sans"/>
          <w:b w:val="0"/>
          <w:sz w:val="22"/>
        </w:rPr>
        <w:t>Сфера применения: [сфера согласно ст. 2 187-ФЗ, например: здравоохранение, связь, энергетика, финансы, транспорт].</w:t>
      </w:r>
    </w:p>
    <w:p/>
    <w:p>
      <w:r>
        <w:rPr>
          <w:rFonts w:ascii="PT Sans" w:hAnsi="PT Sans" w:eastAsia="PT Sans"/>
          <w:b w:val="0"/>
          <w:sz w:val="22"/>
        </w:rPr>
        <w:t>Адрес размещения: 109147, г. Москва, ул. Марксистская, д. 3, стр. 1.</w:t>
      </w:r>
    </w:p>
    <w:p/>
    <w:p>
      <w:pPr>
        <w:pStyle w:val="Heading3"/>
      </w:pPr>
      <w:r>
        <w:t>2.2. Категория значимости</w:t>
      </w:r>
    </w:p>
    <w:p/>
    <w:p>
      <w:r>
        <w:rPr>
          <w:rFonts w:ascii="PT Sans" w:hAnsi="PT Sans" w:eastAsia="PT Sans"/>
          <w:b w:val="0"/>
          <w:sz w:val="22"/>
        </w:rPr>
        <w:t>[NPA_REQUIRED] В соответствии с Постановлением Правительства РФ от 08.02.2018 № 127 объекту присвоена категория значимости: **[I / II / III категория]**.</w:t>
      </w:r>
    </w:p>
    <w:p/>
    <w:p>
      <w:r>
        <w:rPr>
          <w:rFonts w:ascii="PT Sans" w:hAnsi="PT Sans" w:eastAsia="PT Sans"/>
          <w:b w:val="0"/>
          <w:sz w:val="22"/>
        </w:rPr>
        <w:t>Основание присвоения: [указать показатель критериев значимости — социальный, политический, экономический, экологический или обороны/безопасности].</w:t>
      </w:r>
    </w:p>
    <w:p/>
    <w:p>
      <w:pPr>
        <w:pStyle w:val="Heading3"/>
      </w:pPr>
      <w:r>
        <w:t>2.3. Состав объекта КИИ</w:t>
      </w:r>
    </w:p>
    <w:p/>
    <w:p>
      <w:r>
        <w:rPr>
          <w:rFonts w:ascii="PT Sans" w:hAnsi="PT Sans" w:eastAsia="PT Sans"/>
          <w:b w:val="0"/>
          <w:sz w:val="22"/>
        </w:rPr>
        <w:t>В состав ЗОКИИ входят:</w:t>
      </w:r>
    </w:p>
    <w:p>
      <w:pPr>
        <w:pStyle w:val="ListBullet"/>
      </w:pPr>
      <w:r>
        <w:rPr>
          <w:rFonts w:ascii="PT Sans" w:hAnsi="PT Sans"/>
          <w:sz w:val="22"/>
        </w:rPr>
        <w:t>основные технические средства и системы (АРМ операторов, серверы управления);</w:t>
      </w:r>
    </w:p>
    <w:p>
      <w:pPr>
        <w:pStyle w:val="ListBullet"/>
      </w:pPr>
      <w:r>
        <w:rPr>
          <w:rFonts w:ascii="PT Sans" w:hAnsi="PT Sans"/>
          <w:sz w:val="22"/>
        </w:rPr>
        <w:t>вспомогательные технические средства и системы (сетевое оборудование, СЗИ);</w:t>
      </w:r>
    </w:p>
    <w:p>
      <w:pPr>
        <w:pStyle w:val="ListBullet"/>
      </w:pPr>
      <w:r>
        <w:rPr>
          <w:rFonts w:ascii="PT Sans" w:hAnsi="PT Sans"/>
          <w:sz w:val="22"/>
        </w:rPr>
        <w:t>программное обеспечение (системное, прикладное, специализированное);</w:t>
      </w:r>
    </w:p>
    <w:p>
      <w:pPr>
        <w:pStyle w:val="ListBullet"/>
      </w:pPr>
      <w:r>
        <w:rPr>
          <w:rFonts w:ascii="PT Sans" w:hAnsi="PT Sans"/>
          <w:sz w:val="22"/>
        </w:rPr>
        <w:t>каналы передачи данных (локальная сеть, защищённые каналы связи).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3. Модель нарушителя</w:t>
      </w:r>
    </w:p>
    <w:p/>
    <w:p>
      <w:r>
        <w:rPr>
          <w:rFonts w:ascii="PT Sans" w:hAnsi="PT Sans" w:eastAsia="PT Sans"/>
          <w:b w:val="0"/>
          <w:sz w:val="22"/>
        </w:rPr>
        <w:t>При формировании модели угроз рассматриваются следующие типы нарушителей с оценкой их потенциала:</w:t>
      </w:r>
    </w:p>
    <w:p/>
    <w:p>
      <w:r>
        <w:rPr>
          <w:rFonts w:ascii="PT Sans" w:hAnsi="PT Sans" w:eastAsia="PT Sans"/>
          <w:b/>
          <w:sz w:val="22"/>
        </w:rPr>
        <w:t>Внешние нарушители (высокий потенциал):</w:t>
      </w:r>
    </w:p>
    <w:p>
      <w:pPr>
        <w:pStyle w:val="ListBullet"/>
      </w:pPr>
      <w:r>
        <w:rPr>
          <w:rFonts w:ascii="PT Sans" w:hAnsi="PT Sans"/>
          <w:sz w:val="22"/>
        </w:rPr>
        <w:t>спонсируемые государством хакерские группировки (APT-атаки на КИИ);</w:t>
      </w:r>
    </w:p>
    <w:p>
      <w:pPr>
        <w:pStyle w:val="ListBullet"/>
      </w:pPr>
      <w:r>
        <w:rPr>
          <w:rFonts w:ascii="PT Sans" w:hAnsi="PT Sans"/>
          <w:sz w:val="22"/>
        </w:rPr>
        <w:t>организованные преступные группы с узкой специализацией на КИИ.</w:t>
      </w:r>
    </w:p>
    <w:p/>
    <w:p>
      <w:r>
        <w:rPr>
          <w:rFonts w:ascii="PT Sans" w:hAnsi="PT Sans" w:eastAsia="PT Sans"/>
          <w:b/>
          <w:sz w:val="22"/>
        </w:rPr>
        <w:t>Внешние нарушители (средний потенциал):</w:t>
      </w:r>
    </w:p>
    <w:p>
      <w:pPr>
        <w:pStyle w:val="ListBullet"/>
      </w:pPr>
      <w:r>
        <w:rPr>
          <w:rFonts w:ascii="PT Sans" w:hAnsi="PT Sans"/>
          <w:sz w:val="22"/>
        </w:rPr>
        <w:t>хакеры-одиночки, тестирующие известные уязвимости;</w:t>
      </w:r>
    </w:p>
    <w:p>
      <w:pPr>
        <w:pStyle w:val="ListBullet"/>
      </w:pPr>
      <w:r>
        <w:rPr>
          <w:rFonts w:ascii="PT Sans" w:hAnsi="PT Sans"/>
          <w:sz w:val="22"/>
        </w:rPr>
        <w:t>конкуренты, нанимающие специалистов для целевых атак.</w:t>
      </w:r>
    </w:p>
    <w:p/>
    <w:p>
      <w:r>
        <w:rPr>
          <w:rFonts w:ascii="PT Sans" w:hAnsi="PT Sans" w:eastAsia="PT Sans"/>
          <w:b/>
          <w:sz w:val="22"/>
        </w:rPr>
        <w:t>Внутренние нарушители:</w:t>
      </w:r>
    </w:p>
    <w:p>
      <w:pPr>
        <w:pStyle w:val="ListBullet"/>
      </w:pPr>
      <w:r>
        <w:rPr>
          <w:rFonts w:ascii="PT Sans" w:hAnsi="PT Sans"/>
          <w:sz w:val="22"/>
        </w:rPr>
        <w:t>привилегированные пользователи (системные администраторы) — риск утечки или саботажа;</w:t>
      </w:r>
    </w:p>
    <w:p>
      <w:pPr>
        <w:pStyle w:val="ListBullet"/>
      </w:pPr>
      <w:r>
        <w:rPr>
          <w:rFonts w:ascii="PT Sans" w:hAnsi="PT Sans"/>
          <w:sz w:val="22"/>
        </w:rPr>
        <w:t>работники с физическим доступом к оборудованию КИИ — риск намеренного или случайного повреждения.</w:t>
      </w:r>
    </w:p>
    <w:p/>
    <w:p>
      <w:r>
        <w:rPr>
          <w:rFonts w:ascii="PT Sans" w:hAnsi="PT Sans" w:eastAsia="PT Sans"/>
          <w:b w:val="0"/>
          <w:sz w:val="22"/>
        </w:rPr>
        <w:t>Наиболее опасными для ЗОКИИ признаются внешние нарушители с высоким потенциалом, целенаправленно атакующие объекты КИИ заданной сферы.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4. Анализ угроз безопасности информации</w:t>
      </w:r>
    </w:p>
    <w:p/>
    <w:p>
      <w:pPr>
        <w:pStyle w:val="Heading3"/>
      </w:pPr>
      <w:r>
        <w:t>4.1. Угрозы несанкционированного доступа</w:t>
      </w:r>
    </w:p>
    <w:p/>
    <w:p>
      <w:r>
        <w:rPr>
          <w:rFonts w:ascii="PT Sans" w:hAnsi="PT Sans" w:eastAsia="PT Sans"/>
          <w:b w:val="0"/>
          <w:sz w:val="22"/>
        </w:rPr>
        <w:t>**УК-01. Угроза целенаправленной компьютерной атаки (APT)**</w:t>
      </w:r>
    </w:p>
    <w:p/>
    <w:p>
      <w:r>
        <w:rPr>
          <w:rFonts w:ascii="PT Sans" w:hAnsi="PT Sans" w:eastAsia="PT Sans"/>
          <w:b w:val="0"/>
          <w:sz w:val="22"/>
        </w:rPr>
        <w:t>Описание: проведение многоэтапной целевой атаки с длительным присутствием в инфраструктуре ЗОКИИ, сбором данных и подготовкой к деструктивному воздействию.</w:t>
      </w:r>
    </w:p>
    <w:p/>
    <w:p>
      <w:r>
        <w:rPr>
          <w:rFonts w:ascii="PT Sans" w:hAnsi="PT Sans" w:eastAsia="PT Sans"/>
          <w:b w:val="0"/>
          <w:sz w:val="22"/>
        </w:rPr>
        <w:t>Источник: внешний нарушитель высокого потенциала.</w:t>
      </w:r>
    </w:p>
    <w:p/>
    <w:p>
      <w:r>
        <w:rPr>
          <w:rFonts w:ascii="PT Sans" w:hAnsi="PT Sans" w:eastAsia="PT Sans"/>
          <w:b w:val="0"/>
          <w:sz w:val="22"/>
        </w:rPr>
        <w:t>Цель: нарушение функционирования ЗОКИИ, хищение информации, создание скрытых каналов управления.</w:t>
      </w:r>
    </w:p>
    <w:p/>
    <w:p>
      <w:r>
        <w:rPr>
          <w:rFonts w:ascii="PT Sans" w:hAnsi="PT Sans" w:eastAsia="PT Sans"/>
          <w:b w:val="0"/>
          <w:sz w:val="22"/>
        </w:rPr>
        <w:t>**Актуальность**: актуальная (высокая значимость объекта для инфраструктуры страны).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r>
        <w:rPr>
          <w:rFonts w:ascii="PT Sans" w:hAnsi="PT Sans" w:eastAsia="PT Sans"/>
          <w:b w:val="0"/>
          <w:sz w:val="22"/>
        </w:rPr>
        <w:t>**УК-02. Угроза несанкционированного удалённого доступа**</w:t>
      </w:r>
    </w:p>
    <w:p/>
    <w:p>
      <w:r>
        <w:rPr>
          <w:rFonts w:ascii="PT Sans" w:hAnsi="PT Sans" w:eastAsia="PT Sans"/>
          <w:b w:val="0"/>
          <w:sz w:val="22"/>
        </w:rPr>
        <w:t>Описание: получение несанкционированного удалённого доступа к ЗОКИИ через уязвимости сервисов удалённого управления (RDP, SSH, VPN) или слабые учётные данные.</w:t>
      </w:r>
    </w:p>
    <w:p/>
    <w:p>
      <w:r>
        <w:rPr>
          <w:rFonts w:ascii="PT Sans" w:hAnsi="PT Sans" w:eastAsia="PT Sans"/>
          <w:b w:val="0"/>
          <w:sz w:val="22"/>
        </w:rPr>
        <w:t>Источник: внешний нарушитель среднего и высокого потенциала.</w:t>
      </w:r>
    </w:p>
    <w:p/>
    <w:p>
      <w:r>
        <w:rPr>
          <w:rFonts w:ascii="PT Sans" w:hAnsi="PT Sans" w:eastAsia="PT Sans"/>
          <w:b w:val="0"/>
          <w:sz w:val="22"/>
        </w:rPr>
        <w:t>**Актуальность**: актуальная. Нейтрализация: многофакторная аутентификация, закрытие периметра.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3"/>
      </w:pPr>
      <w:r>
        <w:t>4.2. Угрозы нарушения целостности</w:t>
      </w:r>
    </w:p>
    <w:p/>
    <w:p>
      <w:r>
        <w:rPr>
          <w:rFonts w:ascii="PT Sans" w:hAnsi="PT Sans" w:eastAsia="PT Sans"/>
          <w:b w:val="0"/>
          <w:sz w:val="22"/>
        </w:rPr>
        <w:t>**УК-03. Угроза внедрения деструктивного программного обеспечения**</w:t>
      </w:r>
    </w:p>
    <w:p/>
    <w:p>
      <w:r>
        <w:rPr>
          <w:rFonts w:ascii="PT Sans" w:hAnsi="PT Sans" w:eastAsia="PT Sans"/>
          <w:b w:val="0"/>
          <w:sz w:val="22"/>
        </w:rPr>
        <w:t>Описание: заражение промышленных систем или серверов управления вредоносным ПО (программы-уничтожители, шифровальщики, специализированные атаки типа Industroyer, BlackEnergy).</w:t>
      </w:r>
    </w:p>
    <w:p/>
    <w:p>
      <w:r>
        <w:rPr>
          <w:rFonts w:ascii="PT Sans" w:hAnsi="PT Sans" w:eastAsia="PT Sans"/>
          <w:b w:val="0"/>
          <w:sz w:val="22"/>
        </w:rPr>
        <w:t>Источник: внешний нарушитель высокого потенциала.</w:t>
      </w:r>
    </w:p>
    <w:p/>
    <w:p>
      <w:r>
        <w:rPr>
          <w:rFonts w:ascii="PT Sans" w:hAnsi="PT Sans" w:eastAsia="PT Sans"/>
          <w:b w:val="0"/>
          <w:sz w:val="22"/>
        </w:rPr>
        <w:t>Последствие: нарушение технологического процесса, физическое повреждение оборудования.</w:t>
      </w:r>
    </w:p>
    <w:p/>
    <w:p>
      <w:r>
        <w:rPr>
          <w:rFonts w:ascii="PT Sans" w:hAnsi="PT Sans" w:eastAsia="PT Sans"/>
          <w:b w:val="0"/>
          <w:sz w:val="22"/>
        </w:rPr>
        <w:t>**Актуальность**: актуальная.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r>
        <w:rPr>
          <w:rFonts w:ascii="PT Sans" w:hAnsi="PT Sans" w:eastAsia="PT Sans"/>
          <w:b w:val="0"/>
          <w:sz w:val="22"/>
        </w:rPr>
        <w:t>**УК-04. Угроза компрометации цепочки поставок**</w:t>
      </w:r>
    </w:p>
    <w:p/>
    <w:p>
      <w:r>
        <w:rPr>
          <w:rFonts w:ascii="PT Sans" w:hAnsi="PT Sans" w:eastAsia="PT Sans"/>
          <w:b w:val="0"/>
          <w:sz w:val="22"/>
        </w:rPr>
        <w:t>Описание: внедрение вредоносного кода через программное обеспечение поставщиков SCADA-систем или обновления прикладного ПО.</w:t>
      </w:r>
    </w:p>
    <w:p/>
    <w:p>
      <w:r>
        <w:rPr>
          <w:rFonts w:ascii="PT Sans" w:hAnsi="PT Sans" w:eastAsia="PT Sans"/>
          <w:b w:val="0"/>
          <w:sz w:val="22"/>
        </w:rPr>
        <w:t>Источник: внешний нарушитель высокого потенциала.</w:t>
      </w:r>
    </w:p>
    <w:p/>
    <w:p>
      <w:r>
        <w:rPr>
          <w:rFonts w:ascii="PT Sans" w:hAnsi="PT Sans" w:eastAsia="PT Sans"/>
          <w:b w:val="0"/>
          <w:sz w:val="22"/>
        </w:rPr>
        <w:t>**Актуальность**: актуальная для промышленных систем с обновлениями от зарубежных вендоров.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3"/>
      </w:pPr>
      <w:r>
        <w:t>4.3. Угрозы нарушения доступности</w:t>
      </w:r>
    </w:p>
    <w:p/>
    <w:p>
      <w:r>
        <w:rPr>
          <w:rFonts w:ascii="PT Sans" w:hAnsi="PT Sans" w:eastAsia="PT Sans"/>
          <w:b w:val="0"/>
          <w:sz w:val="22"/>
        </w:rPr>
        <w:t>**УК-05. Угроза блокирования объекта КИИ атакой типа «отказ в обслуживании»**</w:t>
      </w:r>
    </w:p>
    <w:p/>
    <w:p>
      <w:r>
        <w:rPr>
          <w:rFonts w:ascii="PT Sans" w:hAnsi="PT Sans" w:eastAsia="PT Sans"/>
          <w:b w:val="0"/>
          <w:sz w:val="22"/>
        </w:rPr>
        <w:t>Описание: воздействие на управляющие серверы или каналы связи ЗОКИИ с целью нарушения управляемости технологического процесса.</w:t>
      </w:r>
    </w:p>
    <w:p/>
    <w:p>
      <w:r>
        <w:rPr>
          <w:rFonts w:ascii="PT Sans" w:hAnsi="PT Sans" w:eastAsia="PT Sans"/>
          <w:b w:val="0"/>
          <w:sz w:val="22"/>
        </w:rPr>
        <w:t>**Актуальность**: актуальная для объектов с сетевой связностью.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r>
        <w:rPr>
          <w:rFonts w:ascii="PT Sans" w:hAnsi="PT Sans" w:eastAsia="PT Sans"/>
          <w:b w:val="0"/>
          <w:sz w:val="22"/>
        </w:rPr>
        <w:t>**УК-06. Угроза физического вмешательства во вспомогательные системы**</w:t>
      </w:r>
    </w:p>
    <w:p/>
    <w:p>
      <w:r>
        <w:rPr>
          <w:rFonts w:ascii="PT Sans" w:hAnsi="PT Sans" w:eastAsia="PT Sans"/>
          <w:b w:val="0"/>
          <w:sz w:val="22"/>
        </w:rPr>
        <w:t>Описание: физическое воздействие на системы электропитания, охлаждения или пожаротушения серверных и операторских помещений с целью нарушения функционирования ЗОКИИ.</w:t>
      </w:r>
    </w:p>
    <w:p/>
    <w:p>
      <w:r>
        <w:rPr>
          <w:rFonts w:ascii="PT Sans" w:hAnsi="PT Sans" w:eastAsia="PT Sans"/>
          <w:b w:val="0"/>
          <w:sz w:val="22"/>
        </w:rPr>
        <w:t>Источник: внешний нарушитель с физическим доступом, внутренний нарушитель.</w:t>
      </w:r>
    </w:p>
    <w:p/>
    <w:p>
      <w:r>
        <w:rPr>
          <w:rFonts w:ascii="PT Sans" w:hAnsi="PT Sans" w:eastAsia="PT Sans"/>
          <w:b w:val="0"/>
          <w:sz w:val="22"/>
        </w:rPr>
        <w:t>**Актуальность**: актуальная.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3"/>
      </w:pPr>
      <w:r>
        <w:t>4.4. Угрозы от внутренних нарушителей</w:t>
      </w:r>
    </w:p>
    <w:p/>
    <w:p>
      <w:r>
        <w:rPr>
          <w:rFonts w:ascii="PT Sans" w:hAnsi="PT Sans" w:eastAsia="PT Sans"/>
          <w:b w:val="0"/>
          <w:sz w:val="22"/>
        </w:rPr>
        <w:t>**УК-07. Угроза неправомерных действий привилегированного пользователя**</w:t>
      </w:r>
    </w:p>
    <w:p/>
    <w:p>
      <w:r>
        <w:rPr>
          <w:rFonts w:ascii="PT Sans" w:hAnsi="PT Sans" w:eastAsia="PT Sans"/>
          <w:b w:val="0"/>
          <w:sz w:val="22"/>
        </w:rPr>
        <w:t>Описание: администратор системы злоупотребляет правами доступа — вносит несанкционированные изменения в конфигурацию, отключает СЗИ или выгружает критические данные.</w:t>
      </w:r>
    </w:p>
    <w:p/>
    <w:p>
      <w:r>
        <w:rPr>
          <w:rFonts w:ascii="PT Sans" w:hAnsi="PT Sans" w:eastAsia="PT Sans"/>
          <w:b w:val="0"/>
          <w:sz w:val="22"/>
        </w:rPr>
        <w:t>Источник: внутренний нарушитель с привилегиями.</w:t>
      </w:r>
    </w:p>
    <w:p/>
    <w:p>
      <w:r>
        <w:rPr>
          <w:rFonts w:ascii="PT Sans" w:hAnsi="PT Sans" w:eastAsia="PT Sans"/>
          <w:b w:val="0"/>
          <w:sz w:val="22"/>
        </w:rPr>
        <w:t>**Актуальность**: актуальная. Нейтрализация: контроль действий привилегированных пользователей (PAM), разделение ответственности.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5. Сводная таблица угроз</w:t>
      </w:r>
    </w:p>
    <w:p/>
    <w:p>
      <w:r>
        <w:rPr>
          <w:rFonts w:ascii="PT Sans" w:hAnsi="PT Sans" w:eastAsia="PT Sans"/>
          <w:b w:val="0"/>
          <w:sz w:val="22"/>
        </w:rPr>
        <w:t>| № | Угроза | Источник | Категория | Потенциал нарушителя | Актуальность |</w:t>
      </w:r>
    </w:p>
    <w:p>
      <w:r>
        <w:rPr>
          <w:rFonts w:ascii="PT Sans" w:hAnsi="PT Sans" w:eastAsia="PT Sans"/>
          <w:b w:val="0"/>
          <w:sz w:val="22"/>
        </w:rPr>
        <w:t>|---|--------|----------|-----------|---------------------|--------------|</w:t>
      </w:r>
    </w:p>
    <w:p>
      <w:r>
        <w:rPr>
          <w:rFonts w:ascii="PT Sans" w:hAnsi="PT Sans" w:eastAsia="PT Sans"/>
          <w:b w:val="0"/>
          <w:sz w:val="22"/>
        </w:rPr>
        <w:t>| УК-01 | APT-атака | Внешний | НСД | Высокий | Актуальная |</w:t>
      </w:r>
    </w:p>
    <w:p>
      <w:r>
        <w:rPr>
          <w:rFonts w:ascii="PT Sans" w:hAnsi="PT Sans" w:eastAsia="PT Sans"/>
          <w:b w:val="0"/>
          <w:sz w:val="22"/>
        </w:rPr>
        <w:t>| УК-02 | Удалённый несанкционированный доступ | Внешний | НСД | Средний/Высокий | Актуальная |</w:t>
      </w:r>
    </w:p>
    <w:p>
      <w:r>
        <w:rPr>
          <w:rFonts w:ascii="PT Sans" w:hAnsi="PT Sans" w:eastAsia="PT Sans"/>
          <w:b w:val="0"/>
          <w:sz w:val="22"/>
        </w:rPr>
        <w:t>| УК-03 | Деструктивное ПО | Внешний | Целостность | Высокий | Актуальная |</w:t>
      </w:r>
    </w:p>
    <w:p>
      <w:r>
        <w:rPr>
          <w:rFonts w:ascii="PT Sans" w:hAnsi="PT Sans" w:eastAsia="PT Sans"/>
          <w:b w:val="0"/>
          <w:sz w:val="22"/>
        </w:rPr>
        <w:t>| УК-04 | Компрометация цепочки поставок | Внешний | Целостность | Высокий | Актуальная |</w:t>
      </w:r>
    </w:p>
    <w:p>
      <w:r>
        <w:rPr>
          <w:rFonts w:ascii="PT Sans" w:hAnsi="PT Sans" w:eastAsia="PT Sans"/>
          <w:b w:val="0"/>
          <w:sz w:val="22"/>
        </w:rPr>
        <w:t>| УК-05 | DoS-атака | Внешний | Доступность | Средний | Актуальная |</w:t>
      </w:r>
    </w:p>
    <w:p>
      <w:r>
        <w:rPr>
          <w:rFonts w:ascii="PT Sans" w:hAnsi="PT Sans" w:eastAsia="PT Sans"/>
          <w:b w:val="0"/>
          <w:sz w:val="22"/>
        </w:rPr>
        <w:t>| УК-06 | Физическое воздействие | Внешний/Внутренний | Доступность | Низкий/Средний | Актуальная |</w:t>
      </w:r>
    </w:p>
    <w:p>
      <w:r>
        <w:rPr>
          <w:rFonts w:ascii="PT Sans" w:hAnsi="PT Sans" w:eastAsia="PT Sans"/>
          <w:b w:val="0"/>
          <w:sz w:val="22"/>
        </w:rPr>
        <w:t>| УК-07 | Действия привилегированного пользователя | Внутренний | Целостность/НСД | Средний | Актуальная |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6. Базовые меры защиты по Приказу ФСТЭК № 239</w:t>
      </w:r>
    </w:p>
    <w:p/>
    <w:p>
      <w:r>
        <w:rPr>
          <w:rFonts w:ascii="PT Sans" w:hAnsi="PT Sans" w:eastAsia="PT Sans"/>
          <w:b w:val="0"/>
          <w:sz w:val="22"/>
        </w:rPr>
        <w:t>[NPA_REQUIRED] Для нейтрализации актуальных угроз применяются организационные и технические меры в соответствии с Приказом ФСТЭК России от 25.12.2017 № 239 с учётом установленной категории значимости:</w:t>
      </w:r>
    </w:p>
    <w:p/>
    <w:p>
      <w:pPr>
        <w:pStyle w:val="ListBullet"/>
      </w:pPr>
      <w:r>
        <w:rPr>
          <w:rFonts w:ascii="PT Sans" w:hAnsi="PT Sans"/>
          <w:sz w:val="22"/>
        </w:rPr>
        <w:t>**УПД** (управление полномочиями): идентификация и аутентификация субъектов доступа, управление правами;</w:t>
      </w:r>
    </w:p>
    <w:p>
      <w:pPr>
        <w:pStyle w:val="ListBullet"/>
      </w:pPr>
      <w:r>
        <w:rPr>
          <w:rFonts w:ascii="PT Sans" w:hAnsi="PT Sans"/>
          <w:sz w:val="22"/>
        </w:rPr>
        <w:t>**ЗВС** (защита вычислительных сетей): межсетевое экранирование, сегментация технологических и корпоративных сетей;</w:t>
      </w:r>
    </w:p>
    <w:p>
      <w:pPr>
        <w:pStyle w:val="ListBullet"/>
      </w:pPr>
      <w:r>
        <w:rPr>
          <w:rFonts w:ascii="PT Sans" w:hAnsi="PT Sans"/>
          <w:sz w:val="22"/>
        </w:rPr>
        <w:t>**АВЗ** (антивирусная защита): применение СЗИ от НСД с антивирусными функциями;</w:t>
      </w:r>
    </w:p>
    <w:p>
      <w:pPr>
        <w:pStyle w:val="ListBullet"/>
      </w:pPr>
      <w:r>
        <w:rPr>
          <w:rFonts w:ascii="PT Sans" w:hAnsi="PT Sans"/>
          <w:sz w:val="22"/>
        </w:rPr>
        <w:t>**МБ** (мониторинг безопасности): регистрация и анализ событий безопасности в ЗОКИИ;</w:t>
      </w:r>
    </w:p>
    <w:p>
      <w:pPr>
        <w:pStyle w:val="ListBullet"/>
      </w:pPr>
      <w:r>
        <w:rPr>
          <w:rFonts w:ascii="PT Sans" w:hAnsi="PT Sans"/>
          <w:sz w:val="22"/>
        </w:rPr>
        <w:t>**КУ** (контроль (анализ) уязвимостей): периодический анализ уязвимостей, управление обновлениями;</w:t>
      </w:r>
    </w:p>
    <w:p>
      <w:pPr>
        <w:pStyle w:val="ListBullet"/>
      </w:pPr>
      <w:r>
        <w:rPr>
          <w:rFonts w:ascii="PT Sans" w:hAnsi="PT Sans"/>
          <w:sz w:val="22"/>
        </w:rPr>
        <w:t>**ЗТС** (защита технических средств): защита от НСД, контроль подключения внешних устройств;</w:t>
      </w:r>
    </w:p>
    <w:p>
      <w:pPr>
        <w:pStyle w:val="ListBullet"/>
      </w:pPr>
      <w:r>
        <w:rPr>
          <w:rFonts w:ascii="PT Sans" w:hAnsi="PT Sans"/>
          <w:sz w:val="22"/>
        </w:rPr>
        <w:t>**ОДТ** (обеспечение доступности): резервирование критически важных компонентов, планы восстановления.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7. Заключение</w:t>
      </w:r>
    </w:p>
    <w:p/>
    <w:p>
      <w:r>
        <w:rPr>
          <w:rFonts w:ascii="PT Sans" w:hAnsi="PT Sans" w:eastAsia="PT Sans"/>
          <w:b w:val="0"/>
          <w:sz w:val="22"/>
        </w:rPr>
        <w:t>Для ЗОКИИ ООО «Кибероснова» актуальны 7 угроз безопасности информации. Преобладают угрозы от внешних нарушителей высокого потенциала, направленные на нарушение функционирования объекта.</w:t>
      </w:r>
    </w:p>
    <w:p/>
    <w:p>
      <w:r>
        <w:rPr>
          <w:rFonts w:ascii="PT Sans" w:hAnsi="PT Sans" w:eastAsia="PT Sans"/>
          <w:b w:val="0"/>
          <w:sz w:val="22"/>
        </w:rPr>
        <w:t>Модель угроз подлежит пересмотру не реже одного раза в 3 года, а также при изменении состава ЗОКИИ, появлении новых угроз в базе данных BDU.FSTEC.RU или инцидентах безопасности.</w:t>
      </w:r>
    </w:p>
    <w:p/>
    <w:p>
      <w:r>
        <w:rPr>
          <w:rFonts w:ascii="PT Sans" w:hAnsi="PT Sans" w:eastAsia="PT Sans"/>
          <w:b w:val="0"/>
          <w:sz w:val="22"/>
        </w:rPr>
        <w:t>Разработал: Петров Пётр Петрович, Специалист по защите информации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1" w:color="23A97E"/>
      </w:pBdr>
    </w:pPr>
    <w:r>
      <w:rPr>
        <w:rFonts w:ascii="PT Sans" w:hAnsi="PT Sans"/>
        <w:color w:val="888888"/>
        <w:sz w:val="16"/>
      </w:rPr>
      <w:t>152fz.cyberosnova.ru</w:t>
    </w:r>
    <w:r>
      <w:rPr>
        <w:rFonts w:ascii="PT Sans" w:hAnsi="PT Sans"/>
        <w:color w:val="AAAAAA"/>
        <w:sz w:val="16"/>
      </w:rPr>
      <w:t xml:space="preserve">  ·  </w:t>
    </w:r>
    <w:r>
      <w:rPr>
        <w:rFonts w:ascii="PT Sans" w:hAnsi="PT Sans"/>
        <w:color w:val="888888"/>
        <w:sz w:val="16"/>
      </w:rPr>
      <w:t xml:space="preserve">Страница </w:t>
    </w:r>
    <w:r>
      <w:rPr>
        <w:sz w:val="16"/>
      </w:rPr>
      <w:fldChar w:fldCharType="begin"/>
      <w:instrText xml:space="preserve"> PAGE </w:instrText>
      <w:fldChar w:fldCharType="end"/>
    </w:r>
    <w:r>
      <w:rPr>
        <w:rFonts w:ascii="PT Sans" w:hAnsi="PT Sans"/>
        <w:color w:val="888888"/>
        <w:sz w:val="16"/>
      </w:rPr>
      <w:t xml:space="preserve"> из </w:t>
    </w:r>
    <w:r>
      <w:rPr>
        <w:sz w:val="16"/>
      </w:rPr>
      <w:fldChar w:fldCharType="begin"/>
      <w:instrText xml:space="preserve"> NUMPAGES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6" w:space="1" w:color="23A97E"/>
      </w:pBdr>
    </w:pPr>
    <w:r>
      <w:rPr>
        <w:rFonts w:ascii="PT Sans" w:hAnsi="PT Sans"/>
        <w:b/>
        <w:color w:val="23A97E"/>
        <w:sz w:val="18"/>
      </w:rPr>
      <w:t>Кибероснова</w:t>
    </w:r>
    <w:r>
      <w:rPr>
        <w:rFonts w:ascii="PT Sans" w:hAnsi="PT Sans"/>
        <w:color w:val="888888"/>
        <w:sz w:val="18"/>
      </w:rPr>
      <w:t xml:space="preserve"> · </w:t>
    </w:r>
    <w:r>
      <w:rPr>
        <w:rFonts w:ascii="PT Sans" w:hAnsi="PT Sans"/>
        <w:color w:val="444444"/>
        <w:sz w:val="18"/>
      </w:rPr>
      <w:t>{document_title}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PT Sans" w:hAnsi="PT Sans" w:eastAsia="PT San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PT Sans" w:hAnsi="PT Sans" w:eastAsia="PT Sans"/>
      <w:b/>
      <w:bCs/>
      <w:color w:val="23A97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PT Sans" w:hAnsi="PT Sans" w:eastAsia="PT Sans"/>
      <w:b/>
      <w:bCs/>
      <w:color w:val="23A97E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