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PT Sans" w:hAnsi="PT Sans" w:eastAsia="PT Sans"/>
          <w:b w:val="0"/>
          <w:sz w:val="22"/>
        </w:rPr>
        <w:t>---</w:t>
      </w:r>
    </w:p>
    <w:p>
      <w:r>
        <w:rPr>
          <w:rFonts w:ascii="PT Sans" w:hAnsi="PT Sans" w:eastAsia="PT Sans"/>
          <w:b w:val="0"/>
          <w:sz w:val="22"/>
        </w:rPr>
        <w:t>slug: model-narushitelya</w:t>
      </w:r>
    </w:p>
    <w:p>
      <w:r>
        <w:rPr>
          <w:rFonts w:ascii="PT Sans" w:hAnsi="PT Sans" w:eastAsia="PT Sans"/>
          <w:b w:val="0"/>
          <w:sz w:val="22"/>
        </w:rPr>
        <w:t>sources_used: [own, fstec-methodology-2021, fstec-bdu]</w:t>
      </w:r>
    </w:p>
    <w:p>
      <w:r>
        <w:rPr>
          <w:rFonts w:ascii="PT Sans" w:hAnsi="PT Sans" w:eastAsia="PT Sans"/>
          <w:b w:val="0"/>
          <w:sz w:val="22"/>
        </w:rPr>
        <w:t>npa_coverage: [152-ФЗ ст.19, ПП-1119, Методика ФСТЭК 2021]</w:t>
      </w:r>
    </w:p>
    <w:p>
      <w:r>
        <w:rPr>
          <w:rFonts w:ascii="PT Sans" w:hAnsi="PT Sans" w:eastAsia="PT Sans"/>
          <w:b w:val="0"/>
          <w:sz w:val="22"/>
        </w:rPr>
        <w:t>verification: PASS (3/3)</w:t>
      </w:r>
    </w:p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jc w:val="right"/>
      </w:pPr>
      <w:r>
        <w:rPr>
          <w:rFonts w:ascii="PT Sans" w:hAnsi="PT Sans" w:eastAsia="PT Sans"/>
          <w:b/>
          <w:sz w:val="22"/>
        </w:rPr>
        <w:t>УТВЕРЖДАЮ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Генеральный директор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ООО «Кибероснова»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____________ Иванов И.И.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«____» ____________ 2026 г.</w:t>
      </w:r>
    </w:p>
    <w:p>
      <w:pPr>
        <w:pStyle w:val="Heading1"/>
      </w:pPr>
      <w:r>
        <w:t>Модель нарушителя безопасности информации</w:t>
      </w:r>
    </w:p>
    <w:p/>
    <w:p>
      <w:r>
        <w:rPr>
          <w:rFonts w:ascii="PT Sans" w:hAnsi="PT Sans" w:eastAsia="PT Sans"/>
          <w:b/>
          <w:sz w:val="22"/>
        </w:rPr>
        <w:t>ОБЩЕСТВО С ОГРАНИЧЕННОЙ ОТВЕТСТВЕННОСТЬЮ «КИБЕРОСНОВА»</w:t>
      </w:r>
    </w:p>
    <w:p/>
    <w:p>
      <w:r>
        <w:rPr>
          <w:rFonts w:ascii="PT Sans" w:hAnsi="PT Sans" w:eastAsia="PT Sans"/>
          <w:b w:val="0"/>
          <w:sz w:val="22"/>
        </w:rPr>
        <w:t>Версия 1.0 · 2026 год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1. Введение</w:t>
      </w:r>
    </w:p>
    <w:p/>
    <w:p>
      <w:r>
        <w:rPr>
          <w:rFonts w:ascii="PT Sans" w:hAnsi="PT Sans" w:eastAsia="PT Sans"/>
          <w:b w:val="0"/>
          <w:sz w:val="22"/>
        </w:rPr>
        <w:t>Настоящий документ описывает модель нарушителя безопасности информации ОБЩЕСТВО С ОГРАНИЧЕННОЙ ОТВЕТСТВЕННОСТЬЮ «КИБЕРОСНОВА» (далее — Организация) применительно к информационным системам, в которых обрабатываются персональные данные и иная охраняемая информация.</w:t>
      </w:r>
    </w:p>
    <w:p/>
    <w:p>
      <w:r>
        <w:rPr>
          <w:rFonts w:ascii="PT Sans" w:hAnsi="PT Sans" w:eastAsia="PT Sans"/>
          <w:b w:val="0"/>
          <w:sz w:val="22"/>
        </w:rPr>
        <w:t>[NPA_REQUIRED] Модель нарушителя разработана в соответствии с Методикой оценки угроз безопасности информации, утверждённой ФСТЭК России в 2021 году, и используется для формирования модели угроз в целях определения состава мер защиты информации согласно требованиям Приказа ФСТЭК России от 18.02.2013 № 21.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2. Классификация нарушителей</w:t>
      </w:r>
    </w:p>
    <w:p/>
    <w:p>
      <w:r>
        <w:rPr>
          <w:rFonts w:ascii="PT Sans" w:hAnsi="PT Sans" w:eastAsia="PT Sans"/>
          <w:b w:val="0"/>
          <w:sz w:val="22"/>
        </w:rPr>
        <w:t>Нарушители классифицируются по нескольким основаниям:</w:t>
      </w:r>
    </w:p>
    <w:p/>
    <w:p>
      <w:r>
        <w:rPr>
          <w:rFonts w:ascii="PT Sans" w:hAnsi="PT Sans" w:eastAsia="PT Sans"/>
          <w:b/>
          <w:sz w:val="22"/>
        </w:rPr>
        <w:t>По принадлежности к Организации:</w:t>
      </w:r>
    </w:p>
    <w:p>
      <w:pPr>
        <w:pStyle w:val="ListBullet"/>
      </w:pPr>
      <w:r>
        <w:rPr>
          <w:rFonts w:ascii="PT Sans" w:hAnsi="PT Sans"/>
          <w:sz w:val="22"/>
        </w:rPr>
        <w:t>внешние нарушители — лица, не имеющие легального доступа к информационным системам;</w:t>
      </w:r>
    </w:p>
    <w:p>
      <w:pPr>
        <w:pStyle w:val="ListBullet"/>
      </w:pPr>
      <w:r>
        <w:rPr>
          <w:rFonts w:ascii="PT Sans" w:hAnsi="PT Sans"/>
          <w:sz w:val="22"/>
        </w:rPr>
        <w:t>внутренние нарушители — работники и лица, наделённые правами доступа на основании договора.</w:t>
      </w:r>
    </w:p>
    <w:p/>
    <w:p>
      <w:r>
        <w:rPr>
          <w:rFonts w:ascii="PT Sans" w:hAnsi="PT Sans" w:eastAsia="PT Sans"/>
          <w:b/>
          <w:sz w:val="22"/>
        </w:rPr>
        <w:t>По мотивации:</w:t>
      </w:r>
    </w:p>
    <w:p>
      <w:pPr>
        <w:pStyle w:val="ListBullet"/>
      </w:pPr>
      <w:r>
        <w:rPr>
          <w:rFonts w:ascii="PT Sans" w:hAnsi="PT Sans"/>
          <w:sz w:val="22"/>
        </w:rPr>
        <w:t>криминальные (финансовая выгода, вымогательство);</w:t>
      </w:r>
    </w:p>
    <w:p>
      <w:pPr>
        <w:pStyle w:val="ListBullet"/>
      </w:pPr>
      <w:r>
        <w:rPr>
          <w:rFonts w:ascii="PT Sans" w:hAnsi="PT Sans"/>
          <w:sz w:val="22"/>
        </w:rPr>
        <w:t>конкурентные (промышленный шпионаж);</w:t>
      </w:r>
    </w:p>
    <w:p>
      <w:pPr>
        <w:pStyle w:val="ListBullet"/>
      </w:pPr>
      <w:r>
        <w:rPr>
          <w:rFonts w:ascii="PT Sans" w:hAnsi="PT Sans"/>
          <w:sz w:val="22"/>
        </w:rPr>
        <w:t>идеологические (хактивизм, деструктивная деятельность);</w:t>
      </w:r>
    </w:p>
    <w:p>
      <w:pPr>
        <w:pStyle w:val="ListBullet"/>
      </w:pPr>
      <w:r>
        <w:rPr>
          <w:rFonts w:ascii="PT Sans" w:hAnsi="PT Sans"/>
          <w:sz w:val="22"/>
        </w:rPr>
        <w:t>случайные (халатность, ошибки без злого умысла).</w:t>
      </w:r>
    </w:p>
    <w:p/>
    <w:p>
      <w:r>
        <w:rPr>
          <w:rFonts w:ascii="PT Sans" w:hAnsi="PT Sans" w:eastAsia="PT Sans"/>
          <w:b/>
          <w:sz w:val="22"/>
        </w:rPr>
        <w:t>По потенциалу (согласно Методике ФСТЭК 2021):</w:t>
      </w:r>
    </w:p>
    <w:p>
      <w:pPr>
        <w:pStyle w:val="ListBullet"/>
      </w:pPr>
      <w:r>
        <w:rPr>
          <w:rFonts w:ascii="PT Sans" w:hAnsi="PT Sans"/>
          <w:sz w:val="22"/>
        </w:rPr>
        <w:t>**Низкий потенциал** — базовые возможности, использование общедоступных инструментов;</w:t>
      </w:r>
    </w:p>
    <w:p>
      <w:pPr>
        <w:pStyle w:val="ListBullet"/>
      </w:pPr>
      <w:r>
        <w:rPr>
          <w:rFonts w:ascii="PT Sans" w:hAnsi="PT Sans"/>
          <w:sz w:val="22"/>
        </w:rPr>
        <w:t>**Средний потенциал** — специальные знания, возможность применения специализированного ПО;</w:t>
      </w:r>
    </w:p>
    <w:p>
      <w:pPr>
        <w:pStyle w:val="ListBullet"/>
      </w:pPr>
      <w:r>
        <w:rPr>
          <w:rFonts w:ascii="PT Sans" w:hAnsi="PT Sans"/>
          <w:sz w:val="22"/>
        </w:rPr>
        <w:t>**Высокий потенциал** — исследовательские возможности, доступ к аппаратным уязвимостям, разработка эксплойтов.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3. Описание типов нарушителей</w:t>
      </w:r>
    </w:p>
    <w:p/>
    <w:p>
      <w:pPr>
        <w:pStyle w:val="Heading3"/>
      </w:pPr>
      <w:r>
        <w:t>3.1. Внешние нарушители</w:t>
      </w:r>
    </w:p>
    <w:p/>
    <w:p>
      <w:r>
        <w:rPr>
          <w:rFonts w:ascii="PT Sans" w:hAnsi="PT Sans" w:eastAsia="PT Sans"/>
          <w:b w:val="0"/>
          <w:sz w:val="22"/>
        </w:rPr>
        <w:t>**Н1. Хакер-одиночка (низкий/средний потенциал)**</w:t>
      </w:r>
    </w:p>
    <w:p/>
    <w:p>
      <w:r>
        <w:rPr>
          <w:rFonts w:ascii="PT Sans" w:hAnsi="PT Sans" w:eastAsia="PT Sans"/>
          <w:b w:val="0"/>
          <w:sz w:val="22"/>
        </w:rPr>
        <w:t>Характеристика: частное лицо, использующее общедоступные инструменты и методы атак (Metasploit, сканеры уязвимостей, брутфорс). Мотивация — финансовая выгода или демонстрация возможностей.</w:t>
      </w:r>
    </w:p>
    <w:p/>
    <w:p>
      <w:r>
        <w:rPr>
          <w:rFonts w:ascii="PT Sans" w:hAnsi="PT Sans" w:eastAsia="PT Sans"/>
          <w:b w:val="0"/>
          <w:sz w:val="22"/>
        </w:rPr>
        <w:t>Доступные ресурсы: публичные эксплойты, словари паролей, инструменты автоматизированного сканирования.</w:t>
      </w:r>
    </w:p>
    <w:p/>
    <w:p>
      <w:r>
        <w:rPr>
          <w:rFonts w:ascii="PT Sans" w:hAnsi="PT Sans" w:eastAsia="PT Sans"/>
          <w:b w:val="0"/>
          <w:sz w:val="22"/>
        </w:rPr>
        <w:t>Возможности: сканирование периметра, эксплуатация известных незакрытых уязвимостей, фишинговые атаки.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r>
        <w:rPr>
          <w:rFonts w:ascii="PT Sans" w:hAnsi="PT Sans" w:eastAsia="PT Sans"/>
          <w:b w:val="0"/>
          <w:sz w:val="22"/>
        </w:rPr>
        <w:t>**Н2. Организованная преступная группа (средний/высокий потенциал)**</w:t>
      </w:r>
    </w:p>
    <w:p/>
    <w:p>
      <w:r>
        <w:rPr>
          <w:rFonts w:ascii="PT Sans" w:hAnsi="PT Sans" w:eastAsia="PT Sans"/>
          <w:b w:val="0"/>
          <w:sz w:val="22"/>
        </w:rPr>
        <w:t>Характеристика: структурированная группа с разделением ролей (разведка, проникновение, монетизация). Специализируется на краже данных и вымогательстве. Использует вредоносное ПО собственной разработки и коммерческие инструменты.</w:t>
      </w:r>
    </w:p>
    <w:p/>
    <w:p>
      <w:r>
        <w:rPr>
          <w:rFonts w:ascii="PT Sans" w:hAnsi="PT Sans" w:eastAsia="PT Sans"/>
          <w:b w:val="0"/>
          <w:sz w:val="22"/>
        </w:rPr>
        <w:t>Возможности: целевые атаки, использование 0-day уязвимостей, сложные схемы отмывания криптовалюты после атак-шантажистов.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r>
        <w:rPr>
          <w:rFonts w:ascii="PT Sans" w:hAnsi="PT Sans" w:eastAsia="PT Sans"/>
          <w:b w:val="0"/>
          <w:sz w:val="22"/>
        </w:rPr>
        <w:t>**Н3. Конкурент (низкий/средний потенциал)**</w:t>
      </w:r>
    </w:p>
    <w:p/>
    <w:p>
      <w:r>
        <w:rPr>
          <w:rFonts w:ascii="PT Sans" w:hAnsi="PT Sans" w:eastAsia="PT Sans"/>
          <w:b w:val="0"/>
          <w:sz w:val="22"/>
        </w:rPr>
        <w:t>Характеристика: организация или нанятый ею специалист, заинтересованный в получении информации о клиентской базе, коммерческих условиях или технологиях. Действует через подкуп сотрудников или технические атаки.</w:t>
      </w:r>
    </w:p>
    <w:p/>
    <w:p>
      <w:r>
        <w:rPr>
          <w:rFonts w:ascii="PT Sans" w:hAnsi="PT Sans" w:eastAsia="PT Sans"/>
          <w:b w:val="0"/>
          <w:sz w:val="22"/>
        </w:rPr>
        <w:t>Мотивация: получение конкурентного преимущества.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3"/>
      </w:pPr>
      <w:r>
        <w:t>3.2. Внутренние нарушители</w:t>
      </w:r>
    </w:p>
    <w:p/>
    <w:p>
      <w:r>
        <w:rPr>
          <w:rFonts w:ascii="PT Sans" w:hAnsi="PT Sans" w:eastAsia="PT Sans"/>
          <w:b w:val="0"/>
          <w:sz w:val="22"/>
        </w:rPr>
        <w:t>**Н4. Работник с минимальными правами (низкий потенциал)**</w:t>
      </w:r>
    </w:p>
    <w:p/>
    <w:p>
      <w:r>
        <w:rPr>
          <w:rFonts w:ascii="PT Sans" w:hAnsi="PT Sans" w:eastAsia="PT Sans"/>
          <w:b w:val="0"/>
          <w:sz w:val="22"/>
        </w:rPr>
        <w:t>Характеристика: рядовой пользователь, случайно или намеренно нарушающий правила обработки ПДн. Основной риск — халатность: отправка данных по незащищённым каналам, потеря носителей, несанкционированное копирование.</w:t>
      </w:r>
    </w:p>
    <w:p/>
    <w:p>
      <w:r>
        <w:rPr>
          <w:rFonts w:ascii="PT Sans" w:hAnsi="PT Sans" w:eastAsia="PT Sans"/>
          <w:b w:val="0"/>
          <w:sz w:val="22"/>
        </w:rPr>
        <w:t>Мотивация: отсутствует (непреднамеренные действия) или корыстная (продажа данных за вознаграждение).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r>
        <w:rPr>
          <w:rFonts w:ascii="PT Sans" w:hAnsi="PT Sans" w:eastAsia="PT Sans"/>
          <w:b w:val="0"/>
          <w:sz w:val="22"/>
        </w:rPr>
        <w:t>**Н5. Работник с расширенными правами (средний потенциал)**</w:t>
      </w:r>
    </w:p>
    <w:p/>
    <w:p>
      <w:r>
        <w:rPr>
          <w:rFonts w:ascii="PT Sans" w:hAnsi="PT Sans" w:eastAsia="PT Sans"/>
          <w:b w:val="0"/>
          <w:sz w:val="22"/>
        </w:rPr>
        <w:t>Характеристика: менеджер или руководитель подразделения, имеющий доступ к расширенному набору данных. Риск — злоупотребление полномочиями при увольнении или в результате подкупа.</w:t>
      </w:r>
    </w:p>
    <w:p/>
    <w:p>
      <w:r>
        <w:rPr>
          <w:rFonts w:ascii="PT Sans" w:hAnsi="PT Sans" w:eastAsia="PT Sans"/>
          <w:b w:val="0"/>
          <w:sz w:val="22"/>
        </w:rPr>
        <w:t>Возможности: экспорт значительных массивов ПДн, доступ к отчётности и аналитике.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r>
        <w:rPr>
          <w:rFonts w:ascii="PT Sans" w:hAnsi="PT Sans" w:eastAsia="PT Sans"/>
          <w:b w:val="0"/>
          <w:sz w:val="22"/>
        </w:rPr>
        <w:t>**Н6. Привилегированный пользователь — системный администратор (высокий потенциал)**</w:t>
      </w:r>
    </w:p>
    <w:p/>
    <w:p>
      <w:r>
        <w:rPr>
          <w:rFonts w:ascii="PT Sans" w:hAnsi="PT Sans" w:eastAsia="PT Sans"/>
          <w:b w:val="0"/>
          <w:sz w:val="22"/>
        </w:rPr>
        <w:t>Характеристика: технический специалист с административными правами на информационные системы. Обладает знанием архитектуры системы и возможностью отключать средства защиты.</w:t>
      </w:r>
    </w:p>
    <w:p/>
    <w:p>
      <w:r>
        <w:rPr>
          <w:rFonts w:ascii="PT Sans" w:hAnsi="PT Sans" w:eastAsia="PT Sans"/>
          <w:b w:val="0"/>
          <w:sz w:val="22"/>
        </w:rPr>
        <w:t>Возможности: полный доступ к базам данных, изменение конфигурации СЗИ, уничтожение журналов событий, создание скрытых учётных записей.</w:t>
      </w:r>
    </w:p>
    <w:p/>
    <w:p>
      <w:r>
        <w:rPr>
          <w:rFonts w:ascii="PT Sans" w:hAnsi="PT Sans" w:eastAsia="PT Sans"/>
          <w:b w:val="0"/>
          <w:sz w:val="22"/>
        </w:rPr>
        <w:t>Мотивация: финансовая выгода, шантаж, обида на работодателя при увольнении.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r>
        <w:rPr>
          <w:rFonts w:ascii="PT Sans" w:hAnsi="PT Sans" w:eastAsia="PT Sans"/>
          <w:b w:val="0"/>
          <w:sz w:val="22"/>
        </w:rPr>
        <w:t>**Н7. Подрядчик / временный работник (средний потенциал)**</w:t>
      </w:r>
    </w:p>
    <w:p/>
    <w:p>
      <w:r>
        <w:rPr>
          <w:rFonts w:ascii="PT Sans" w:hAnsi="PT Sans" w:eastAsia="PT Sans"/>
          <w:b w:val="0"/>
          <w:sz w:val="22"/>
        </w:rPr>
        <w:t>Характеристика: сотрудник организации-подрядчика, получивший временный доступ к системам для выполнения технических работ. Может не руководствоваться внутренними политиками ИБ Организации.</w:t>
      </w:r>
    </w:p>
    <w:p/>
    <w:p>
      <w:r>
        <w:rPr>
          <w:rFonts w:ascii="PT Sans" w:hAnsi="PT Sans" w:eastAsia="PT Sans"/>
          <w:b w:val="0"/>
          <w:sz w:val="22"/>
        </w:rPr>
        <w:t>Возможности: доступ к сегментам сети и данным в рамках предоставленных прав.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4. Оценка потенциала нарушителей применительно к ИСПДн</w:t>
      </w:r>
    </w:p>
    <w:p/>
    <w:p>
      <w:r>
        <w:rPr>
          <w:rFonts w:ascii="PT Sans" w:hAnsi="PT Sans" w:eastAsia="PT Sans"/>
          <w:b w:val="0"/>
          <w:sz w:val="22"/>
        </w:rPr>
        <w:t>Для целей определения уровня защищённости ИСПДн ООО «Кибероснова» наиболее значимы следующие нарушители:</w:t>
      </w:r>
    </w:p>
    <w:p/>
    <w:p>
      <w:r>
        <w:rPr>
          <w:rFonts w:ascii="PT Sans" w:hAnsi="PT Sans" w:eastAsia="PT Sans"/>
          <w:b w:val="0"/>
          <w:sz w:val="22"/>
        </w:rPr>
        <w:t>| Тип нарушителя | Потенциал | Вероятность | Ущерб |</w:t>
      </w:r>
    </w:p>
    <w:p>
      <w:r>
        <w:rPr>
          <w:rFonts w:ascii="PT Sans" w:hAnsi="PT Sans" w:eastAsia="PT Sans"/>
          <w:b w:val="0"/>
          <w:sz w:val="22"/>
        </w:rPr>
        <w:t>|---------------|-----------|-------------|-------|</w:t>
      </w:r>
    </w:p>
    <w:p>
      <w:r>
        <w:rPr>
          <w:rFonts w:ascii="PT Sans" w:hAnsi="PT Sans" w:eastAsia="PT Sans"/>
          <w:b w:val="0"/>
          <w:sz w:val="22"/>
        </w:rPr>
        <w:t>| Н1. Хакер-одиночка | Низкий/Средний | Средняя | Средний |</w:t>
      </w:r>
    </w:p>
    <w:p>
      <w:r>
        <w:rPr>
          <w:rFonts w:ascii="PT Sans" w:hAnsi="PT Sans" w:eastAsia="PT Sans"/>
          <w:b w:val="0"/>
          <w:sz w:val="22"/>
        </w:rPr>
        <w:t>| Н2. Организованная группа | Высокий | Низкая | Высокий |</w:t>
      </w:r>
    </w:p>
    <w:p>
      <w:r>
        <w:rPr>
          <w:rFonts w:ascii="PT Sans" w:hAnsi="PT Sans" w:eastAsia="PT Sans"/>
          <w:b w:val="0"/>
          <w:sz w:val="22"/>
        </w:rPr>
        <w:t>| Н3. Конкурент | Средний | Низкая | Средний |</w:t>
      </w:r>
    </w:p>
    <w:p>
      <w:r>
        <w:rPr>
          <w:rFonts w:ascii="PT Sans" w:hAnsi="PT Sans" w:eastAsia="PT Sans"/>
          <w:b w:val="0"/>
          <w:sz w:val="22"/>
        </w:rPr>
        <w:t>| Н4. Рядовой работник | Низкий | Высокая | Низкий/Средний |</w:t>
      </w:r>
    </w:p>
    <w:p>
      <w:r>
        <w:rPr>
          <w:rFonts w:ascii="PT Sans" w:hAnsi="PT Sans" w:eastAsia="PT Sans"/>
          <w:b w:val="0"/>
          <w:sz w:val="22"/>
        </w:rPr>
        <w:t>| Н5. Работник с правами | Средний | Средняя | Средний |</w:t>
      </w:r>
    </w:p>
    <w:p>
      <w:r>
        <w:rPr>
          <w:rFonts w:ascii="PT Sans" w:hAnsi="PT Sans" w:eastAsia="PT Sans"/>
          <w:b w:val="0"/>
          <w:sz w:val="22"/>
        </w:rPr>
        <w:t>| Н6. Системный администратор | Высокий | Низкая | Высокий |</w:t>
      </w:r>
    </w:p>
    <w:p>
      <w:r>
        <w:rPr>
          <w:rFonts w:ascii="PT Sans" w:hAnsi="PT Sans" w:eastAsia="PT Sans"/>
          <w:b w:val="0"/>
          <w:sz w:val="22"/>
        </w:rPr>
        <w:t>| Н7. Подрядчик | Средний | Средняя | Средний |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5. Принимаемые меры против актуальных нарушителей</w:t>
      </w:r>
    </w:p>
    <w:p/>
    <w:p>
      <w:r>
        <w:rPr>
          <w:rFonts w:ascii="PT Sans" w:hAnsi="PT Sans" w:eastAsia="PT Sans"/>
          <w:b w:val="0"/>
          <w:sz w:val="22"/>
        </w:rPr>
        <w:t>[NPA_REQUIRED] Для нейтрализации угроз от выявленных типов нарушителей Организация применяет меры защиты в соответствии с Приказом ФСТЭК России № 21:</w:t>
      </w:r>
    </w:p>
    <w:p/>
    <w:p>
      <w:r>
        <w:rPr>
          <w:rFonts w:ascii="PT Sans" w:hAnsi="PT Sans" w:eastAsia="PT Sans"/>
          <w:b/>
          <w:sz w:val="22"/>
        </w:rPr>
        <w:t>Против внешних нарушителей (Н1-Н3):</w:t>
      </w:r>
    </w:p>
    <w:p>
      <w:pPr>
        <w:pStyle w:val="ListBullet"/>
      </w:pPr>
      <w:r>
        <w:rPr>
          <w:rFonts w:ascii="PT Sans" w:hAnsi="PT Sans"/>
          <w:sz w:val="22"/>
        </w:rPr>
        <w:t>межсетевое экранирование периметра и сегментация сети;</w:t>
      </w:r>
    </w:p>
    <w:p>
      <w:pPr>
        <w:pStyle w:val="ListBullet"/>
      </w:pPr>
      <w:r>
        <w:rPr>
          <w:rFonts w:ascii="PT Sans" w:hAnsi="PT Sans"/>
          <w:sz w:val="22"/>
        </w:rPr>
        <w:t>закрытие избыточных внешних сервисов и портов;</w:t>
      </w:r>
    </w:p>
    <w:p>
      <w:pPr>
        <w:pStyle w:val="ListBullet"/>
      </w:pPr>
      <w:r>
        <w:rPr>
          <w:rFonts w:ascii="PT Sans" w:hAnsi="PT Sans"/>
          <w:sz w:val="22"/>
        </w:rPr>
        <w:t>мониторинг аномальной активности и расследование инцидентов;</w:t>
      </w:r>
    </w:p>
    <w:p>
      <w:pPr>
        <w:pStyle w:val="ListBullet"/>
      </w:pPr>
      <w:r>
        <w:rPr>
          <w:rFonts w:ascii="PT Sans" w:hAnsi="PT Sans"/>
          <w:sz w:val="22"/>
        </w:rPr>
        <w:t>управление уязвимостями и своевременное обновление ПО.</w:t>
      </w:r>
    </w:p>
    <w:p/>
    <w:p>
      <w:r>
        <w:rPr>
          <w:rFonts w:ascii="PT Sans" w:hAnsi="PT Sans" w:eastAsia="PT Sans"/>
          <w:b/>
          <w:sz w:val="22"/>
        </w:rPr>
        <w:t>Против внутренних нарушителей (Н4-Н7):</w:t>
      </w:r>
    </w:p>
    <w:p>
      <w:pPr>
        <w:pStyle w:val="ListBullet"/>
      </w:pPr>
      <w:r>
        <w:rPr>
          <w:rFonts w:ascii="PT Sans" w:hAnsi="PT Sans"/>
          <w:sz w:val="22"/>
        </w:rPr>
        <w:t>реализация принципа минимальных привилегий;</w:t>
      </w:r>
    </w:p>
    <w:p>
      <w:pPr>
        <w:pStyle w:val="ListBullet"/>
      </w:pPr>
      <w:r>
        <w:rPr>
          <w:rFonts w:ascii="PT Sans" w:hAnsi="PT Sans"/>
          <w:sz w:val="22"/>
        </w:rPr>
        <w:t>контроль и аудит действий привилегированных пользователей;</w:t>
      </w:r>
    </w:p>
    <w:p>
      <w:pPr>
        <w:pStyle w:val="ListBullet"/>
      </w:pPr>
      <w:r>
        <w:rPr>
          <w:rFonts w:ascii="PT Sans" w:hAnsi="PT Sans"/>
          <w:sz w:val="22"/>
        </w:rPr>
        <w:t>контроль использования съёмных носителей;</w:t>
      </w:r>
    </w:p>
    <w:p>
      <w:pPr>
        <w:pStyle w:val="ListBullet"/>
      </w:pPr>
      <w:r>
        <w:rPr>
          <w:rFonts w:ascii="PT Sans" w:hAnsi="PT Sans"/>
          <w:sz w:val="22"/>
        </w:rPr>
        <w:t>обучение и повышение осведомлённости работников;</w:t>
      </w:r>
    </w:p>
    <w:p>
      <w:pPr>
        <w:pStyle w:val="ListBullet"/>
      </w:pPr>
      <w:r>
        <w:rPr>
          <w:rFonts w:ascii="PT Sans" w:hAnsi="PT Sans"/>
          <w:sz w:val="22"/>
        </w:rPr>
        <w:t>контроль доступа подрядчиков (ограничение по времени и объёму прав).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6. Заключение</w:t>
      </w:r>
    </w:p>
    <w:p/>
    <w:p>
      <w:r>
        <w:rPr>
          <w:rFonts w:ascii="PT Sans" w:hAnsi="PT Sans" w:eastAsia="PT Sans"/>
          <w:b w:val="0"/>
          <w:sz w:val="22"/>
        </w:rPr>
        <w:t>Наиболее критичными нарушителями для ИСПДн ООО «Кибероснова» признаются: системный администратор (Н6) как наиболее привилегированный внутренний нарушитель и организованная преступная группа (Н2) как наиболее опасный внешний нарушитель.</w:t>
      </w:r>
    </w:p>
    <w:p/>
    <w:p>
      <w:r>
        <w:rPr>
          <w:rFonts w:ascii="PT Sans" w:hAnsi="PT Sans" w:eastAsia="PT Sans"/>
          <w:b w:val="0"/>
          <w:sz w:val="22"/>
        </w:rPr>
        <w:t>Настоящая Модель нарушителя применяется совместно с Моделью угроз безопасности персональных данных и подлежит пересмотру при изменении состава нарушителей или появлении новых данных о тактиках и техниках атак.</w:t>
      </w:r>
    </w:p>
    <w:p/>
    <w:p>
      <w:r>
        <w:rPr>
          <w:rFonts w:ascii="PT Sans" w:hAnsi="PT Sans" w:eastAsia="PT Sans"/>
          <w:b w:val="0"/>
          <w:sz w:val="22"/>
        </w:rPr>
        <w:t>Разработал: Петров Пётр Петрович, Специалист по защите информации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{document_title}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T Sans" w:hAnsi="PT Sans" w:eastAsia="PT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PT Sans" w:hAnsi="PT Sans" w:eastAsia="PT Sans"/>
      <w:b/>
      <w:bCs/>
      <w:color w:val="23A97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PT Sans" w:hAnsi="PT Sans" w:eastAsia="PT Sans"/>
      <w:b/>
      <w:bCs/>
      <w:color w:val="23A97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