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  <w:jc w:val="right"/>
      </w:pPr>
      <w:r>
        <w:t xml:space="preserve">УТВЕРЖДАЮ</w:t>
      </w:r>
    </w:p>
    <w:p>
      <w:pPr>
        <w:pStyle w:val="BodyText"/>
        <w:jc w:val="right"/>
      </w:pPr>
      <w:r>
        <w:rPr>
          <w:shd w:val="clear" w:color="auto" w:fill="C6EFCE"/>
        </w:rPr>
        <w:t xml:space="preserve">Генеральный директор</w:t>
      </w:r>
      <w:r>
        <w:t xml:space="preserve"> </w:t>
      </w:r>
      <w:r>
        <w:rPr>
          <w:shd w:val="clear" w:color="auto" w:fill="C6EFCE"/>
        </w:rPr>
        <w:t xml:space="preserve">ООО «Ромашка»</w:t>
      </w:r>
    </w:p>
    <w:p>
      <w:pPr>
        <w:pStyle w:val="BodyText"/>
        <w:jc w:val="right"/>
      </w:pPr>
      <w:r>
        <w:t xml:space="preserve">_____________</w:t>
      </w:r>
      <w:r>
        <w:t xml:space="preserve"> </w:t>
      </w:r>
      <w:r>
        <w:rPr>
          <w:shd w:val="clear" w:color="auto" w:fill="C6EFCE"/>
        </w:rPr>
        <w:t xml:space="preserve">И.И. Иванов</w:t>
      </w:r>
    </w:p>
    <w:p>
      <w:pPr>
        <w:pStyle w:val="BodyText"/>
        <w:jc w:val="right"/>
      </w:pPr>
      <w:r>
        <w:t xml:space="preserve">«____» ____________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t xml:space="preserve">г.</w:t>
      </w:r>
    </w:p>
    <w:bookmarkStart w:id="30" w:name="инструкция"/>
    <w:p>
      <w:pPr>
        <w:pStyle w:val="Heading1"/>
        <w:jc w:val="center"/>
      </w:pPr>
      <w:r>
        <w:rPr>
          <w:color w:val="000000"/>
        </w:rPr>
        <w:t xml:space="preserve">ИНСТРУКЦИЯ</w:t>
      </w:r>
    </w:p>
    <w:bookmarkStart w:id="20" w:name="X3becf6974a09ba2fb1404da3539e5570c345042"/>
    <w:p>
      <w:pPr>
        <w:pStyle w:val="Heading2"/>
        <w:jc w:val="center"/>
      </w:pPr>
      <w:r>
        <w:rPr>
          <w:color w:val="000000"/>
        </w:rPr>
        <w:t xml:space="preserve">пользователя информационной системы персональных данных</w:t>
      </w:r>
    </w:p>
    <w:p>
      <w:pPr>
        <w:pStyle w:val="FirstParagraph"/>
        <w:jc w:val="both"/>
      </w:pPr>
      <w:r>
        <w:rPr>
          <w:b/>
          <w:bCs/>
          <w:shd w:val="clear" w:color="auto" w:fill="C6EFCE"/>
        </w:rPr>
        <w:t xml:space="preserve">Общество с ограниченной ответственностью «Ромашка»</w:t>
      </w:r>
    </w:p>
    <w:p>
      <w:pPr>
        <w:pStyle w:val="BodyText"/>
        <w:jc w:val="both"/>
      </w:pPr>
      <w:r>
        <w:t xml:space="preserve">Приказ №</w:t>
      </w:r>
      <w:r>
        <w:t xml:space="preserve"> </w:t>
      </w:r>
      <w:r>
        <w:rPr>
          <w:shd w:val="clear" w:color="auto" w:fill="C6EFCE"/>
        </w:rPr>
        <w:t xml:space="preserve">12</w:t>
      </w:r>
      <w:r>
        <w:t xml:space="preserve"> </w:t>
      </w:r>
      <w:r>
        <w:t xml:space="preserve">от</w:t>
      </w:r>
      <w:r>
        <w:t xml:space="preserve"> </w:t>
      </w:r>
      <w:r>
        <w:rPr>
          <w:shd w:val="clear" w:color="auto" w:fill="C6EFCE"/>
        </w:rPr>
        <w:t xml:space="preserve">05.06.2026</w:t>
      </w:r>
    </w:p>
    <w:bookmarkEnd w:id="20"/>
    <w:bookmarkStart w:id="21" w:name="Xc4211d805ccb1d1758c2b033f718de644cb7c63"/>
    <w:p>
      <w:pPr>
        <w:pStyle w:val="Heading2"/>
        <w:jc w:val="left"/>
      </w:pPr>
      <w:r>
        <w:rPr>
          <w:color w:val="000000"/>
        </w:rPr>
        <w:t xml:space="preserve">1. Общие положения</w:t>
      </w:r>
    </w:p>
    <w:p>
      <w:pPr>
        <w:pStyle w:val="FirstParagraph"/>
        <w:jc w:val="both"/>
      </w:pPr>
      <w:r>
        <w:t xml:space="preserve">1.1. Настоящая Инструкция регламентирует обязанности, запреты и меру ответственности работников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t xml:space="preserve"> </w:t>
      </w:r>
      <w:r>
        <w:t xml:space="preserve">(далее — Организация), допущенных к работе с информационными системами персональных данных, в соответствии с требованиями статьи 19 Федерального закона от 27.07.2006 № 152-ФЗ «О персональных данных».</w:t>
      </w:r>
    </w:p>
    <w:p>
      <w:pPr>
        <w:pStyle w:val="BodyText"/>
        <w:jc w:val="both"/>
      </w:pPr>
      <w:r>
        <w:t xml:space="preserve">1.2. Действие Инструкции распространяется на всех работников Организации, которым в силу должностных обязанностей предоставлен доступ к информационным системам, обрабатывающим персональные данные, — вне зависимости от формы трудовых отношений и режима работы.</w:t>
      </w:r>
    </w:p>
    <w:p>
      <w:pPr>
        <w:pStyle w:val="BodyText"/>
        <w:jc w:val="both"/>
      </w:pPr>
      <w:r>
        <w:t xml:space="preserve">1.3. При работе с персональными данными работников Организации дополнительно применяются требования статьи 87 Трудового кодекса Российской Федерации, устанавливающей порядок хранения, использования и защиты ПДн работников.</w:t>
      </w:r>
    </w:p>
    <w:p>
      <w:pPr>
        <w:pStyle w:val="BodyText"/>
        <w:jc w:val="both"/>
      </w:pPr>
      <w:r>
        <w:t xml:space="preserve">1.4. Ответственным за организацию обработки персональных данных и проведение инструктажа пользователей назначен(а):</w:t>
      </w:r>
    </w:p>
    <w:bookmarkEnd w:id="21"/>
    <w:bookmarkStart w:id="22" w:name="Xb763ef6abf93f11047461e3ae23317497d76656"/>
    <w:p>
      <w:pPr>
        <w:pStyle w:val="Heading2"/>
        <w:jc w:val="left"/>
      </w:pPr>
      <w:r>
        <w:rPr>
          <w:color w:val="000000"/>
        </w:rPr>
        <w:t xml:space="preserve">2. Термины и определения</w:t>
      </w:r>
    </w:p>
    <w:p>
      <w:pPr>
        <w:pStyle w:val="FirstParagraph"/>
        <w:jc w:val="both"/>
      </w:pPr>
      <w:r>
        <w:t xml:space="preserve">2.1. В настоящей Инструкции применяются следующие основные понятия: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3960"/>
        <w:gridCol w:w="396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Термин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Определение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АРМ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Автоматизированное рабочее место — персональный компьютер или терминал, с которого пользователь осуществляет работу в ИСПДн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База данных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Совокупность структурированных данных, в том числе содержащих ПДн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ИСПДн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Информационная система персональных данных — совокупность ПДн и обеспечивающих их обработку технологий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Компрометация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Утрата доверия к информации или средству её защиты, в том числе раскрытие пароля третьему лицу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Контролируемая зона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Пространство, в котором исключено неконтролируемое присутствие посторонних лиц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НСД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Несанкционированный доступ — получение информации без разрешения уполномоченного лица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Носитель информации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Материальный объект, предназначенный для хранения и передачи данных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Обработка 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Любые действия с персональными данными: сбор, хранение, использование, передача, уничтожение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Пароль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Секретная последовательность символов для аутентификации пользователя в информационной системе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Персональные данные — любая информация, относящаяся к определённому физическому лицу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ПО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Программное обеспечение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Распространение 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Раскрытие персональных данных неопределённому кругу лиц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СЗИ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Средство защиты информации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ВПО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Вредоносное программное обеспечение</w:t>
            </w:r>
          </w:p>
        </w:tc>
      </w:tr>
    </w:tbl>
    <w:bookmarkEnd w:id="22"/>
    <w:bookmarkStart w:id="23" w:name="X4a3b7673955efb76828a4d5e4f2d4e8330712b0"/>
    <w:p>
      <w:pPr>
        <w:pStyle w:val="Heading2"/>
        <w:jc w:val="left"/>
      </w:pPr>
      <w:r>
        <w:rPr>
          <w:color w:val="000000"/>
        </w:rPr>
        <w:t xml:space="preserve">3. Общие обязанности пользователя</w:t>
      </w:r>
    </w:p>
    <w:p>
      <w:pPr>
        <w:pStyle w:val="FirstParagraph"/>
        <w:jc w:val="both"/>
      </w:pPr>
      <w:r>
        <w:t xml:space="preserve">3.1. Пользователь ИСПДн</w:t>
      </w:r>
      <w:r>
        <w:t xml:space="preserve"> </w:t>
      </w:r>
      <w:r>
        <w:rPr>
          <w:b/>
          <w:bCs/>
        </w:rPr>
        <w:t xml:space="preserve">обязан</w:t>
      </w:r>
      <w:r>
        <w:t xml:space="preserve">:</w:t>
      </w:r>
    </w:p>
    <w:p>
      <w:pPr>
        <w:pStyle w:val="BodyText"/>
        <w:jc w:val="both"/>
      </w:pPr>
      <w:r>
        <w:t xml:space="preserve">а) знать и неукоснительно соблюдать требования локальных нормативных актов Организации по обработке и защите персональных данных, в том числе настоящую Инструкцию;</w:t>
      </w:r>
    </w:p>
    <w:p>
      <w:pPr>
        <w:pStyle w:val="BodyText"/>
        <w:jc w:val="both"/>
      </w:pPr>
      <w:r>
        <w:t xml:space="preserve">б) соблюдать установленные Организацией правила информационной безопасности при работе с ИСПДн: использовать только авторизованные учётные записи, не передавать данные доступа третьим лицам;</w:t>
      </w:r>
    </w:p>
    <w:p>
      <w:pPr>
        <w:pStyle w:val="BodyText"/>
        <w:jc w:val="both"/>
      </w:pPr>
      <w:r>
        <w:t xml:space="preserve">в) знать правила работы с применяемыми средствами защиты информации и строго выполнять их требования;</w:t>
      </w:r>
    </w:p>
    <w:p>
      <w:pPr>
        <w:pStyle w:val="BodyText"/>
        <w:jc w:val="both"/>
      </w:pPr>
      <w:r>
        <w:t xml:space="preserve">г) соблюдать парольную политику Организации: использовать пароль установленной сложности, своевременно его менять, не записывать в доступных третьим лицам местах.</w:t>
      </w:r>
    </w:p>
    <w:p>
      <w:pPr>
        <w:pStyle w:val="BodyText"/>
        <w:jc w:val="both"/>
      </w:pPr>
      <w:r>
        <w:t xml:space="preserve">3.2.</w:t>
      </w:r>
      <w:r>
        <w:t xml:space="preserve"> </w:t>
      </w:r>
      <w:r>
        <w:rPr>
          <w:b/>
          <w:bCs/>
        </w:rPr>
        <w:t xml:space="preserve">Перечень инцидентов, при выявлении которых пользователь обязан незамедлительно вызвать ответственного за обработку ПДн: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3960"/>
        <w:gridCol w:w="396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Признак инцидента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Нарушение пломб, защитных наклеек или иных индикаторов вскрытия корпуса АРМ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Несанкционированные изменения в конфигурации программного обеспечения или аппаратуры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Нестандартное или нестабильное функционирование систем ИСПДн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Некорректная работа или отключение средств защиты информации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Непредусмотренное подключение кабелей, внешних устройств или модулей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Признаки заражения вредоносным программным обеспечением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Компрометация или подозрение на компрометацию учётной записи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Факт несанкционированного доступа к персональным данным или его попытка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Факт или подозрение на неправомерную передачу ПДн третьим лицам</w:t>
            </w:r>
          </w:p>
        </w:tc>
      </w:tr>
    </w:tbl>
    <w:p>
      <w:pPr>
        <w:pStyle w:val="BodyText"/>
        <w:jc w:val="both"/>
      </w:pPr>
      <w:r>
        <w:t xml:space="preserve">3.3. При обнаружении любого из указанных признаков пользователь обязан:</w:t>
      </w:r>
    </w:p>
    <w:p>
      <w:pPr>
        <w:pStyle w:val="BodyText"/>
        <w:jc w:val="both"/>
      </w:pPr>
      <w:r>
        <w:rPr>
          <w:b/>
          <w:bCs/>
        </w:rPr>
        <w:t xml:space="preserve">Шаг 1.</w:t>
      </w:r>
      <w:r>
        <w:t xml:space="preserve"> </w:t>
      </w:r>
      <w:r>
        <w:t xml:space="preserve">Не предпринимать самостоятельных действий по исправлению ситуации.</w:t>
      </w:r>
    </w:p>
    <w:p>
      <w:pPr>
        <w:pStyle w:val="BodyText"/>
        <w:jc w:val="both"/>
      </w:pPr>
      <w:r>
        <w:rPr>
          <w:b/>
          <w:bCs/>
        </w:rPr>
        <w:t xml:space="preserve">Шаг 2.</w:t>
      </w:r>
      <w:r>
        <w:t xml:space="preserve"> </w:t>
      </w:r>
      <w:r>
        <w:t xml:space="preserve">Немедленно уведомить ответственного за обработку ПДн.</w:t>
      </w:r>
    </w:p>
    <w:p>
      <w:pPr>
        <w:pStyle w:val="BodyText"/>
        <w:jc w:val="both"/>
      </w:pPr>
      <w:r>
        <w:rPr>
          <w:b/>
          <w:bCs/>
        </w:rPr>
        <w:t xml:space="preserve">Шаг 3.</w:t>
      </w:r>
      <w:r>
        <w:t xml:space="preserve"> </w:t>
      </w:r>
      <w:r>
        <w:t xml:space="preserve">Зафиксировать в письменной форме факт и обстоятельства обнаружения до прибытия ответственного.</w:t>
      </w:r>
    </w:p>
    <w:bookmarkEnd w:id="23"/>
    <w:bookmarkStart w:id="24" w:name="Xc93e2587390ae2c252b5aeb8cf170572af91e99"/>
    <w:p>
      <w:pPr>
        <w:pStyle w:val="Heading2"/>
        <w:jc w:val="left"/>
      </w:pPr>
      <w:r>
        <w:rPr>
          <w:color w:val="000000"/>
        </w:rPr>
        <w:t xml:space="preserve">4. Запреты при работе с ИСПДн</w:t>
      </w:r>
    </w:p>
    <w:p>
      <w:pPr>
        <w:pStyle w:val="FirstParagraph"/>
        <w:jc w:val="both"/>
      </w:pPr>
      <w:r>
        <w:t xml:space="preserve">4.1. Пользователю</w:t>
      </w:r>
      <w:r>
        <w:t xml:space="preserve"> </w:t>
      </w:r>
      <w:r>
        <w:rPr>
          <w:b/>
          <w:bCs/>
        </w:rPr>
        <w:t xml:space="preserve">категорически запрещается</w:t>
      </w:r>
      <w:r>
        <w:t xml:space="preserve">:</w:t>
      </w:r>
    </w:p>
    <w:p>
      <w:pPr>
        <w:pStyle w:val="BodyText"/>
        <w:jc w:val="both"/>
      </w:pPr>
      <w:r>
        <w:t xml:space="preserve">а) использовать ИСПДн в целях, не связанных с исполнением служебных обязанностей (в личных, коммерческих или иных неслужебных целях);</w:t>
      </w:r>
    </w:p>
    <w:p>
      <w:pPr>
        <w:pStyle w:val="BodyText"/>
        <w:jc w:val="both"/>
      </w:pPr>
      <w:r>
        <w:t xml:space="preserve">б) отключать, обходить или иным образом нейтрализовывать средства защиты информации;</w:t>
      </w:r>
    </w:p>
    <w:p>
      <w:pPr>
        <w:pStyle w:val="BodyText"/>
        <w:jc w:val="both"/>
      </w:pPr>
      <w:r>
        <w:t xml:space="preserve">в) самовольно вносить изменения в конфигурацию программного обеспечения, операционной системы или аппаратного обеспечения АРМ;</w:t>
      </w:r>
    </w:p>
    <w:p>
      <w:pPr>
        <w:pStyle w:val="BodyText"/>
        <w:jc w:val="both"/>
      </w:pPr>
      <w:r>
        <w:t xml:space="preserve">г) оставлять АРМ без блокировки экрана при любом отлучении с рабочего места; оставлять АРМ включённым по окончании рабочего дня без выполнения установленной процедуры завершения работы;</w:t>
      </w:r>
    </w:p>
    <w:p>
      <w:pPr>
        <w:pStyle w:val="BodyText"/>
        <w:jc w:val="both"/>
      </w:pPr>
      <w:r>
        <w:t xml:space="preserve">д) намеренно использовать уязвимости в программном обеспечении ИСПДн.</w:t>
      </w:r>
    </w:p>
    <w:bookmarkEnd w:id="24"/>
    <w:bookmarkStart w:id="25" w:name="X41c618ffa3e5884108d8c00ae07ed0e34e33822"/>
    <w:p>
      <w:pPr>
        <w:pStyle w:val="Heading2"/>
        <w:jc w:val="left"/>
      </w:pPr>
      <w:r>
        <w:rPr>
          <w:color w:val="000000"/>
        </w:rPr>
        <w:t xml:space="preserve">5. Обеспечение сохранности информации и АРМ</w:t>
      </w:r>
    </w:p>
    <w:p>
      <w:pPr>
        <w:pStyle w:val="FirstParagraph"/>
        <w:jc w:val="both"/>
      </w:pPr>
      <w:r>
        <w:t xml:space="preserve">5.1.</w:t>
      </w:r>
      <w:r>
        <w:t xml:space="preserve"> </w:t>
      </w:r>
      <w:r>
        <w:rPr>
          <w:b/>
          <w:bCs/>
        </w:rPr>
        <w:t xml:space="preserve">Работа с носителями информации:</w:t>
      </w:r>
    </w:p>
    <w:p>
      <w:pPr>
        <w:pStyle w:val="BodyText"/>
        <w:jc w:val="both"/>
      </w:pPr>
      <w:r>
        <w:t xml:space="preserve">а) перед использованием внешних носителей (USB-накопителей, оптических дисков, карт памяти) — в обязательном порядке проверять их антивирусными средствами, одобренными Организацией;</w:t>
      </w:r>
    </w:p>
    <w:p>
      <w:pPr>
        <w:pStyle w:val="BodyText"/>
        <w:jc w:val="both"/>
      </w:pPr>
      <w:r>
        <w:t xml:space="preserve">б) использовать внешние носители только в служебных целях; передача АРМ или носителей с ПДн другому работнику допускается исключительно через ответственного за обработку ПДн.</w:t>
      </w:r>
    </w:p>
    <w:p>
      <w:pPr>
        <w:pStyle w:val="BodyText"/>
        <w:jc w:val="both"/>
      </w:pPr>
      <w:r>
        <w:t xml:space="preserve">5.2.</w:t>
      </w:r>
      <w:r>
        <w:t xml:space="preserve"> </w:t>
      </w:r>
      <w:r>
        <w:rPr>
          <w:b/>
          <w:bCs/>
        </w:rPr>
        <w:t xml:space="preserve">Запрещённые действия с АРМ и сетевой инфраструктурой: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3960"/>
        <w:gridCol w:w="396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Запрет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Установка и запуск вредоносного программного обеспечения любого вида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Изменение сетевых адресов (IP, MAC) АРМ без согласования с ответственным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Самостоятельное вскрытие корпуса АРМ или подключение к нему нештатных устройств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Несанкционированная передача АРМ другому лицу или его вынос за пределы Организации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Организация беспроводного доступа к ИСПДн без письменного разрешения ответственного</w:t>
            </w:r>
          </w:p>
        </w:tc>
      </w:tr>
    </w:tbl>
    <w:p>
      <w:pPr>
        <w:pStyle w:val="BodyText"/>
        <w:jc w:val="both"/>
      </w:pPr>
      <w:r>
        <w:t xml:space="preserve">5.3.</w:t>
      </w:r>
      <w:r>
        <w:t xml:space="preserve"> </w:t>
      </w:r>
      <w:r>
        <w:rPr>
          <w:b/>
          <w:bCs/>
        </w:rPr>
        <w:t xml:space="preserve">Электронные документы с ПДн</w:t>
      </w:r>
      <w:r>
        <w:t xml:space="preserve"> </w:t>
      </w:r>
      <w:r>
        <w:t xml:space="preserve">могут создаваться, храниться и передаваться исключительно в служебных целях и только через каналы, одобренные Организацией.</w:t>
      </w:r>
    </w:p>
    <w:bookmarkEnd w:id="25"/>
    <w:bookmarkStart w:id="26" w:name="Xa6c95f0b878a8a07936d24a668b67f95f0ecbd2"/>
    <w:p>
      <w:pPr>
        <w:pStyle w:val="Heading2"/>
        <w:jc w:val="left"/>
      </w:pPr>
      <w:r>
        <w:rPr>
          <w:color w:val="000000"/>
        </w:rPr>
        <w:t xml:space="preserve">6. Ответственность</w:t>
      </w:r>
    </w:p>
    <w:p>
      <w:pPr>
        <w:pStyle w:val="FirstParagraph"/>
        <w:jc w:val="both"/>
      </w:pPr>
      <w:r>
        <w:t xml:space="preserve">6.1. Пользователь несёт</w:t>
      </w:r>
      <w:r>
        <w:t xml:space="preserve"> </w:t>
      </w:r>
      <w:r>
        <w:rPr>
          <w:b/>
          <w:bCs/>
        </w:rPr>
        <w:t xml:space="preserve">персональную ответственность</w:t>
      </w:r>
      <w:r>
        <w:t xml:space="preserve"> </w:t>
      </w:r>
      <w:r>
        <w:t xml:space="preserve">за все действия, совершённые с использованием его учётной записи в ИСПДн.</w:t>
      </w:r>
    </w:p>
    <w:p>
      <w:pPr>
        <w:pStyle w:val="BodyText"/>
        <w:jc w:val="both"/>
      </w:pPr>
      <w:r>
        <w:t xml:space="preserve">6.2. За нарушение требований настоящей Инструкции и законодательства о персональных данных предусмотрена:</w:t>
      </w:r>
    </w:p>
    <w:p>
      <w:pPr>
        <w:pStyle w:val="BodyText"/>
        <w:jc w:val="both"/>
      </w:pPr>
      <w:r>
        <w:rPr>
          <w:b/>
          <w:bCs/>
        </w:rPr>
        <w:t xml:space="preserve">Дисциплинарная ответственность</w:t>
      </w:r>
      <w:r>
        <w:t xml:space="preserve"> </w:t>
      </w:r>
      <w:r>
        <w:t xml:space="preserve">(ТК РФ ст. 192): замечание, выговор, вплоть до увольнения.</w:t>
      </w:r>
    </w:p>
    <w:p>
      <w:pPr>
        <w:pStyle w:val="BodyText"/>
        <w:jc w:val="both"/>
      </w:pPr>
      <w:r>
        <w:rPr>
          <w:b/>
          <w:bCs/>
        </w:rPr>
        <w:t xml:space="preserve">Административная ответственность</w:t>
      </w:r>
      <w:r>
        <w:t xml:space="preserve"> </w:t>
      </w:r>
      <w:r>
        <w:t xml:space="preserve">(КоАП РФ ст. 13.11):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Состав нарушения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Физ. лицо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Должн. лицо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Юридическое лицо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Обработка ПДн без согласия (ч. 2)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30 000 руб.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300 000 руб.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500 000 руб.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Нарушение режима обработки (ч. 1)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10 000 руб.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100 000 руб.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300 000 руб.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Утечка ПДн (ч. 6)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—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200 000 руб.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15 000 000 руб.</w:t>
            </w:r>
          </w:p>
        </w:tc>
      </w:tr>
    </w:tbl>
    <w:p>
      <w:pPr>
        <w:pStyle w:val="BodyText"/>
        <w:jc w:val="both"/>
      </w:pPr>
      <w:r>
        <w:rPr>
          <w:b/>
          <w:bCs/>
        </w:rPr>
        <w:t xml:space="preserve">Уголовная ответственность</w:t>
      </w:r>
      <w:r>
        <w:t xml:space="preserve"> </w:t>
      </w:r>
      <w:r>
        <w:t xml:space="preserve">: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УК РФ ст. 137 — незаконное собирание и распространение сведений о частной жизни;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УК РФ ст. 272 — неправомерный доступ к охраняемой компьютерной информации.</w:t>
      </w:r>
    </w:p>
    <w:bookmarkEnd w:id="26"/>
    <w:bookmarkStart w:id="27" w:name="Xe17df58ff0038bb07314d2a519e4d9f8a225664"/>
    <w:p>
      <w:pPr>
        <w:pStyle w:val="Heading2"/>
        <w:jc w:val="left"/>
      </w:pPr>
      <w:r>
        <w:rPr>
          <w:color w:val="000000"/>
        </w:rPr>
        <w:t xml:space="preserve">7. Заключительные положения</w:t>
      </w:r>
    </w:p>
    <w:p>
      <w:pPr>
        <w:pStyle w:val="FirstParagraph"/>
        <w:jc w:val="both"/>
      </w:pPr>
      <w:r>
        <w:t xml:space="preserve">7.1. Настоящая Инструкция вступает в силу с даты утверждения руководителем Организации и является обязательной для всех пользователей ИСПДн.</w:t>
      </w:r>
    </w:p>
    <w:p>
      <w:pPr>
        <w:pStyle w:val="BodyText"/>
        <w:jc w:val="both"/>
      </w:pPr>
      <w:r>
        <w:t xml:space="preserve">7.2. Инструкция пересматривается не реже одного раза в 2 года, а также при изменении законодательства или внедрении новых ИСПДн.</w:t>
      </w:r>
    </w:p>
    <w:p>
      <w:pPr>
        <w:pStyle w:val="BodyText"/>
        <w:jc w:val="both"/>
      </w:pPr>
      <w:r>
        <w:t xml:space="preserve">7.3. Работник допускается к работе с ИСПДн только после ознакомления с настоящей Инструкцией под роспись.</w:t>
      </w:r>
    </w:p>
    <w:bookmarkEnd w:id="27"/>
    <w:bookmarkStart w:id="28" w:name="лист-ознакомления-пользователей-испдн"/>
    <w:p>
      <w:pPr>
        <w:pStyle w:val="Heading2"/>
        <w:jc w:val="left"/>
        <w:pageBreakBefore/>
      </w:pPr>
      <w:r>
        <w:rPr>
          <w:color w:val="000000"/>
        </w:rPr>
        <w:t xml:space="preserve">Лист ознакомления пользователей ИСПДн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ФИО работника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Должность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Дата ознакомления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Подпись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</w:tbl>
    <w:bookmarkEnd w:id="28"/>
    <w:bookmarkStart w:id="29" w:name="инструкция-по-заполнению"/>
    <w:p>
      <w:pPr>
        <w:pStyle w:val="Heading2"/>
        <w:jc w:val="left"/>
        <w:pageBreakBefore/>
        <w:shd w:val="clear" w:color="auto" w:fill="F2F2F2"/>
      </w:pPr>
      <w:r>
        <w:rPr>
          <w:color w:val="000000"/>
        </w:rPr>
        <w:t xml:space="preserve">Инструкция по заполнению</w:t>
      </w:r>
    </w:p>
    <w:p>
      <w:pPr>
        <w:pStyle w:val="FirstParagraph"/>
        <w:jc w:val="both"/>
        <w:shd w:val="clear" w:color="auto" w:fill="F2F2F2"/>
      </w:pPr>
      <w:r>
        <w:t xml:space="preserve">Данный раздел — для справки при подготовке и утверждении документа. Удалите страницу перед подписанием и выдачей работникам.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Что заполнить в зелёных полях: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b/>
          <w:bCs/>
        </w:rPr>
        <w:t xml:space="preserve">Организация (шапка и заголовок):</w:t>
      </w:r>
      <w:r>
        <w:t xml:space="preserve"> </w:t>
      </w:r>
      <w:r>
        <w:rPr>
          <w:rStyle w:val="VerbatimChar"/>
        </w:rPr>
        <w:t xml:space="preserve">~~Общество с ограниченной ответственностью «Ромашка»~~</w:t>
      </w:r>
      <w:r>
        <w:t xml:space="preserve"> </w:t>
      </w:r>
      <w:r>
        <w:t xml:space="preserve">— полное официальное наименование организации-оператора ПДн,</w:t>
      </w:r>
      <w:r>
        <w:t xml:space="preserve"> </w:t>
      </w:r>
      <w:r>
        <w:rPr>
          <w:rStyle w:val="VerbatimChar"/>
        </w:rPr>
        <w:t xml:space="preserve">~~ООО «Ромашка»~~</w:t>
      </w:r>
      <w:r>
        <w:t xml:space="preserve"> </w:t>
      </w:r>
      <w:r>
        <w:t xml:space="preserve">— краткое (например, ООО «Ромашка»).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b/>
          <w:bCs/>
        </w:rPr>
        <w:t xml:space="preserve">Руководитель:</w:t>
      </w:r>
      <w:r>
        <w:t xml:space="preserve"> </w:t>
      </w:r>
      <w:r>
        <w:rPr>
          <w:rStyle w:val="VerbatimChar"/>
        </w:rPr>
        <w:t xml:space="preserve">~~Генеральный директор~~</w:t>
      </w:r>
      <w:r>
        <w:t xml:space="preserve"> </w:t>
      </w:r>
      <w:r>
        <w:t xml:space="preserve">— должность утверждающего (например, Генеральный директор),</w:t>
      </w:r>
      <w:r>
        <w:t xml:space="preserve"> </w:t>
      </w:r>
      <w:r>
        <w:rPr>
          <w:rStyle w:val="VerbatimChar"/>
        </w:rPr>
        <w:t xml:space="preserve">~~И.И. Иванов~~</w:t>
      </w:r>
      <w:r>
        <w:t xml:space="preserve"> </w:t>
      </w:r>
      <w:r>
        <w:t xml:space="preserve">— инициалы и фамилия (например, А.В. Иванов).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b/>
          <w:bCs/>
        </w:rPr>
        <w:t xml:space="preserve">Год утверждения:</w:t>
      </w:r>
      <w:r>
        <w:t xml:space="preserve"> </w:t>
      </w:r>
      <w:r>
        <w:rPr>
          <w:rStyle w:val="VerbatimChar"/>
        </w:rPr>
        <w:t xml:space="preserve">~~2026~~</w:t>
      </w:r>
      <w:r>
        <w:t xml:space="preserve"> </w:t>
      </w:r>
      <w:r>
        <w:t xml:space="preserve">— текущий год; дату вписать от руки при подписании.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b/>
          <w:bCs/>
        </w:rPr>
        <w:t xml:space="preserve">Реквизиты приказа:</w:t>
      </w:r>
      <w:r>
        <w:t xml:space="preserve"> </w:t>
      </w:r>
      <w:r>
        <w:rPr>
          <w:rStyle w:val="VerbatimChar"/>
        </w:rPr>
        <w:t xml:space="preserve">~~12~~</w:t>
      </w:r>
      <w:r>
        <w:t xml:space="preserve"> </w:t>
      </w:r>
      <w:r>
        <w:t xml:space="preserve">— номер приказа о введении инструкции в действие,</w:t>
      </w:r>
      <w:r>
        <w:t xml:space="preserve"> </w:t>
      </w:r>
      <w:r>
        <w:rPr>
          <w:rStyle w:val="VerbatimChar"/>
        </w:rPr>
        <w:t xml:space="preserve">~~05.06.2026~~</w:t>
      </w:r>
      <w:r>
        <w:t xml:space="preserve"> </w:t>
      </w:r>
      <w:r>
        <w:t xml:space="preserve">— дата приказа в формате ДД.ММ.ГГГГ.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b/>
          <w:bCs/>
        </w:rPr>
        <w:t xml:space="preserve">Ответственный за ПДн:</w:t>
      </w:r>
      <w:r>
        <w:t xml:space="preserve"> </w:t>
      </w:r>
      <w:r>
        <w:rPr>
          <w:rStyle w:val="VerbatimChar"/>
        </w:rPr>
        <w:t xml:space="preserve">~~Сидорова Мария Сергеевна~~</w:t>
      </w:r>
      <w:r>
        <w:t xml:space="preserve"> </w:t>
      </w:r>
      <w:r>
        <w:t xml:space="preserve">— ФИО,</w:t>
      </w:r>
      <w:r>
        <w:t xml:space="preserve"> </w:t>
      </w:r>
      <w:r>
        <w:rPr>
          <w:rStyle w:val="VerbatimChar"/>
        </w:rPr>
        <w:t xml:space="preserve">~~Начальник отдела кадров~~</w:t>
      </w:r>
      <w:r>
        <w:t xml:space="preserve"> </w:t>
      </w:r>
      <w:r>
        <w:t xml:space="preserve">— должность сотрудника, назначенного ответственным за организацию обработки ПДн (п. 1.4 инструкции).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Порядок применения и хранения: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t xml:space="preserve">Основание: 152-ФЗ ст. 19 ч. 2 — организационные меры защиты, включая определение обязанностей пользователей ИСПДн.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t xml:space="preserve">Инструкция вступает в силу с даты утверждения руководителем (п. 7.1).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t xml:space="preserve">Пересмотр —</w:t>
      </w:r>
      <w:r>
        <w:t xml:space="preserve"> </w:t>
      </w:r>
      <w:r>
        <w:rPr>
          <w:b/>
          <w:bCs/>
        </w:rPr>
        <w:t xml:space="preserve">не реже 1 раза в 2 года</w:t>
      </w:r>
      <w:r>
        <w:t xml:space="preserve">, а также при изменении законодательства или внедрении новых ИСПДн (п. 7.2).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t xml:space="preserve">Каждый работник допускается к ИСПДн</w:t>
      </w:r>
      <w:r>
        <w:t xml:space="preserve"> </w:t>
      </w:r>
      <w:r>
        <w:rPr>
          <w:b/>
          <w:bCs/>
        </w:rPr>
        <w:t xml:space="preserve">только после подписания</w:t>
      </w:r>
      <w:r>
        <w:t xml:space="preserve"> </w:t>
      </w:r>
      <w:r>
        <w:t xml:space="preserve">Листа ознакомления (п. 7.3). Лист хранится вместе с подлинником инструкции.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t xml:space="preserve">Хранение: в составе пакета документов по защите ПДн; срок хранения — не менее 3 лет после прекращения обработки ПДн соответствующей ИСПДн (ТК РФ ст. 87).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Специфика документа:</w:t>
      </w:r>
    </w:p>
    <w:p>
      <w:pPr>
        <w:pStyle w:val="Compact"/>
        <w:numPr>
          <w:ilvl w:val="0"/>
          <w:numId w:val="1004"/>
        </w:numPr>
        <w:jc w:val="both"/>
        <w:shd w:val="clear" w:color="auto" w:fill="F2F2F2"/>
      </w:pPr>
      <w:r>
        <w:t xml:space="preserve">Инструкция распространяется на ВСЕХ работников с доступом к ИСПДн независимо от формы трудовых отношений (п. 1.2) — включая совместителей и дистанционных работников.</w:t>
      </w:r>
    </w:p>
    <w:p>
      <w:pPr>
        <w:pStyle w:val="Compact"/>
        <w:numPr>
          <w:ilvl w:val="0"/>
          <w:numId w:val="1004"/>
        </w:numPr>
        <w:jc w:val="both"/>
        <w:shd w:val="clear" w:color="auto" w:fill="F2F2F2"/>
      </w:pPr>
      <w:r>
        <w:t xml:space="preserve">Раздел 3.2 содержит таблицу инцидентов — проверьте, что перечень актуален для ваших ИСПДн.</w:t>
      </w:r>
    </w:p>
    <w:p>
      <w:pPr>
        <w:pStyle w:val="Compact"/>
        <w:numPr>
          <w:ilvl w:val="0"/>
          <w:numId w:val="1004"/>
        </w:numPr>
        <w:jc w:val="both"/>
        <w:shd w:val="clear" w:color="auto" w:fill="F2F2F2"/>
      </w:pPr>
      <w:r>
        <w:t xml:space="preserve">Раздел 6.2 содержит таблицу штрафов по КоАП РФ ст. 13.11 — данные актуальны на дату подготовки; при существенном изменении законодательства обновите перед следующим пересмотром.</w:t>
      </w:r>
    </w:p>
    <w:p>
      <w:pPr>
        <w:pStyle w:val="Compact"/>
        <w:numPr>
          <w:ilvl w:val="0"/>
          <w:numId w:val="1004"/>
        </w:numPr>
        <w:jc w:val="both"/>
        <w:shd w:val="clear" w:color="auto" w:fill="F2F2F2"/>
      </w:pPr>
      <w:r>
        <w:t xml:space="preserve">Лист ознакомления (последняя страница) — добавьте строки под фактическое число пользователей ИСПДн.</w:t>
      </w:r>
    </w:p>
    <w:bookmarkEnd w:id="29"/>
    <w:bookmarkEnd w:id="30"/>
    <w:sectPr w:rsidR="00FC693F" w:rsidRPr="0006063C" w:rsidSect="00034616">
      <w:headerReference r:id="rId9" w:type="default"/>
      <w:footerReference r:id="rId10" w:type="default"/>
      <w:pgSz w:h="15840" w:w="12240"/>
      <w:pgMar w:bottom="1134" w:footer="720" w:gutter="0" w:header="720" w:left="1417" w:right="1134" w:top="1134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Инструкция пользователя информационной системы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Calibri" w:cs="Calibri" w:eastAsia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160"/>
      <w:outlineLvl w:val="1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000000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000000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00000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00000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2026-06-05T15:33:25Z</dcterms:created>
  <dcterms:modified xsi:type="dcterms:W3CDTF">2026-06-05T15:33:25Z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