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7c861e22a7310a7701e0bf1e35f3cb3773e74ed"/>
    <w:p>
      <w:pPr>
        <w:pStyle w:val="Heading1"/>
        <w:jc w:val="center"/>
      </w:pPr>
      <w:r>
        <w:rPr>
          <w:color w:val="000000"/>
        </w:rPr>
        <w:t xml:space="preserve">АКТ определения уровня защищённости персональных данных</w:t>
      </w:r>
    </w:p>
    <w:p>
      <w:pPr>
        <w:pStyle w:val="FirstParagraph"/>
        <w:jc w:val="right"/>
      </w:pPr>
      <w:r>
        <w:rPr>
          <w:b/>
          <w:bCs/>
        </w:rP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right"/>
      </w:pPr>
      <w:r>
        <w:t xml:space="preserve">_____________________________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right"/>
      </w:pPr>
      <w:r>
        <w:t xml:space="preserve">«</w:t>
      </w:r>
      <w:r>
        <w:rPr>
          <w:shd w:val="clear" w:color="auto" w:fill="C6EFCE"/>
        </w:rPr>
        <w:t xml:space="preserve">05</w:t>
      </w:r>
      <w:r>
        <w:t xml:space="preserve">»</w:t>
      </w:r>
      <w:r>
        <w:t xml:space="preserve"> </w:t>
      </w:r>
      <w:r>
        <w:rPr>
          <w:shd w:val="clear" w:color="auto" w:fill="C6EFCE"/>
        </w:rPr>
        <w:t xml:space="preserve">июня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24" w:name="X1ea50aeecd78eaf8dbf4913ee163308605e70cf"/>
    <w:p>
      <w:pPr>
        <w:pStyle w:val="Heading2"/>
        <w:jc w:val="left"/>
      </w:pPr>
      <w:r>
        <w:rPr>
          <w:color w:val="000000"/>
          <w:shd w:val="clear" w:color="auto" w:fill="C6EFCE"/>
        </w:rPr>
        <w:t xml:space="preserve">Общество с ограниченной ответственностью «Ромашка»</w:t>
      </w:r>
    </w:p>
    <w:bookmarkStart w:id="20" w:name="акт--12"/>
    <w:p>
      <w:pPr>
        <w:pStyle w:val="Heading3"/>
        <w:jc w:val="left"/>
      </w:pPr>
      <w:r>
        <w:rPr>
          <w:color w:val="000000"/>
        </w:rPr>
        <w:t xml:space="preserve">АКТ №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12</w:t>
      </w:r>
    </w:p>
    <w:bookmarkEnd w:id="20"/>
    <w:bookmarkStart w:id="21" w:name="от-05-июня-2026-г"/>
    <w:p>
      <w:pPr>
        <w:pStyle w:val="Heading3"/>
        <w:jc w:val="left"/>
      </w:pPr>
      <w:r>
        <w:rPr>
          <w:color w:val="000000"/>
        </w:rPr>
        <w:t xml:space="preserve">от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05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июня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2026</w:t>
      </w:r>
      <w:r>
        <w:rPr>
          <w:color w:val="000000"/>
        </w:rPr>
        <w:t xml:space="preserve"> </w:t>
      </w:r>
      <w:r>
        <w:rPr>
          <w:color w:val="000000"/>
        </w:rPr>
        <w:t xml:space="preserve">г.</w:t>
      </w:r>
    </w:p>
    <w:bookmarkEnd w:id="21"/>
    <w:bookmarkStart w:id="22" w:name="Xce668f55cf31e5fc23db73e0ca6591c189dafdc"/>
    <w:p>
      <w:pPr>
        <w:pStyle w:val="Heading3"/>
        <w:jc w:val="left"/>
      </w:pPr>
      <w:r>
        <w:rPr>
          <w:color w:val="000000"/>
        </w:rPr>
        <w:t xml:space="preserve">определения уровня защищённости персональных данных</w:t>
      </w:r>
    </w:p>
    <w:bookmarkEnd w:id="22"/>
    <w:bookmarkStart w:id="23" w:name="X5a16c3fb704e9b6ad366c9ca65fb4cd56f9ff48"/>
    <w:p>
      <w:pPr>
        <w:pStyle w:val="Heading3"/>
        <w:jc w:val="left"/>
      </w:pPr>
      <w:r>
        <w:rPr>
          <w:color w:val="000000"/>
        </w:rPr>
        <w:t xml:space="preserve">в информационной системе персональных данных «</w:t>
      </w:r>
      <w:r>
        <w:rPr>
          <w:color w:val="000000"/>
          <w:shd w:val="clear" w:color="auto" w:fill="C6EFCE"/>
        </w:rPr>
        <w:t xml:space="preserve">ИСПДн «Управление персоналом»</w:t>
      </w:r>
      <w:r>
        <w:rPr>
          <w:color w:val="000000"/>
        </w:rPr>
        <w:t xml:space="preserve">»</w:t>
      </w:r>
    </w:p>
    <w:p>
      <w:pPr>
        <w:pStyle w:val="FirstParagraph"/>
        <w:jc w:val="both"/>
      </w:pPr>
      <w:r>
        <w:t xml:space="preserve">Настоящий Акт составлен Комиссией по определению уровня защищённости персональных данных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Оператор, Комиссия) во исполнение требований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(далее — ПП-1119).</w:t>
      </w:r>
    </w:p>
    <w:p>
      <w:pPr>
        <w:pStyle w:val="BodyText"/>
        <w:jc w:val="both"/>
      </w:pPr>
      <w:r>
        <w:rPr>
          <w:b/>
          <w:bCs/>
        </w:rPr>
        <w:t xml:space="preserve">Состав Комиссии: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Роль в Комиссии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Фамилия И.О.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Председатель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Генеральный директор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Иванов И.И.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Член Комиссии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Начальник отдела кадров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Сидорова М.С.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Член Комиссии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Системный администратор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Петров А.Н.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Член Комиссии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Юрисконсульт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Козлова Е.Д.</w:t>
            </w:r>
          </w:p>
        </w:tc>
      </w:tr>
    </w:tbl>
    <w:bookmarkEnd w:id="23"/>
    <w:bookmarkEnd w:id="24"/>
    <w:bookmarkStart w:id="25" w:name="X2467e378f1193f781c038b3ef4231ecc5d94c69"/>
    <w:p>
      <w:pPr>
        <w:pStyle w:val="Heading2"/>
        <w:jc w:val="left"/>
      </w:pPr>
      <w:r>
        <w:rPr>
          <w:color w:val="000000"/>
        </w:rPr>
        <w:t xml:space="preserve">Раздел 1 — Сведения об информационной системе персональных данных</w:t>
      </w:r>
    </w:p>
    <w:p>
      <w:pPr>
        <w:pStyle w:val="FirstParagraph"/>
        <w:jc w:val="both"/>
      </w:pPr>
      <w:r>
        <w:t xml:space="preserve">Комиссия рассмотрела следующую информационную систему персональных данных: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Параметр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Наименование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«</w:t>
            </w:r>
            <w:r>
              <w:rPr>
                <w:shd w:val="clear" w:color="auto" w:fill="C6EFCE"/>
              </w:rPr>
              <w:t xml:space="preserve">ИСПДн «Управление персоналом»</w:t>
            </w:r>
            <w:r>
              <w:t xml:space="preserve">»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Оператор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Общество с ограниченной ответственностью «Ромашка»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Назначение системы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ведение кадрового учёта и исполнение трудовых обязательств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Местонахождение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г. Москва, ул. Примерная, д. 1, офис 1</w:t>
            </w:r>
          </w:p>
        </w:tc>
      </w:tr>
    </w:tbl>
    <w:bookmarkEnd w:id="25"/>
    <w:bookmarkStart w:id="29" w:name="X4f844bcbeabc2396ef2838937802a750c676869"/>
    <w:p>
      <w:pPr>
        <w:pStyle w:val="Heading2"/>
        <w:jc w:val="left"/>
      </w:pPr>
      <w:r>
        <w:rPr>
          <w:color w:val="000000"/>
        </w:rPr>
        <w:t xml:space="preserve">Раздел 2 — Определение уровня защищённости</w:t>
      </w:r>
    </w:p>
    <w:p>
      <w:pPr>
        <w:pStyle w:val="FirstParagraph"/>
        <w:jc w:val="both"/>
      </w:pPr>
      <w:r>
        <w:t xml:space="preserve">Комиссия провела анализ характеристик ИСПДн в соответствии с пунктами 3–5 ПП-1119, которые определяют три группы факторов, влияющих на уровень защищённости: категория обрабатываемых персональных данных, объём субъектов персональных данных и тип актуальных угроз безопасности (Постановление Правительства РФ от 01.11.2012 № 1119, пункты 3–5).</w:t>
      </w:r>
    </w:p>
    <w:bookmarkStart w:id="26" w:name="X8db02ed33387185a81cdacbbd785463ace25858"/>
    <w:p>
      <w:pPr>
        <w:pStyle w:val="Heading3"/>
        <w:jc w:val="left"/>
      </w:pPr>
      <w:r>
        <w:rPr>
          <w:color w:val="000000"/>
        </w:rPr>
        <w:t xml:space="preserve">2.1. Категория персональных данных</w:t>
      </w:r>
    </w:p>
    <w:p>
      <w:pPr>
        <w:pStyle w:val="FirstParagraph"/>
        <w:jc w:val="both"/>
      </w:pPr>
      <w:r>
        <w:t xml:space="preserve">Выбрать одну из следующих категорий (нужное отметить):</w:t>
      </w:r>
    </w:p>
    <w:p>
      <w:pPr>
        <w:pStyle w:val="Compact"/>
        <w:numPr>
          <w:ilvl w:val="0"/>
          <w:numId w:val="1001"/>
        </w:numPr>
        <w:jc w:val="both"/>
      </w:pPr>
      <w:r>
        <w:rPr>
          <w:b/>
          <w:bCs/>
        </w:rPr>
        <w:t xml:space="preserve">Специальные категории</w:t>
      </w:r>
      <w:r>
        <w:t xml:space="preserve"> </w:t>
      </w:r>
      <w:r>
        <w:t xml:space="preserve">— данные о расовой или национальной принадлежности, политических взглядах, религиозных или философских убеждениях, состоянии здоровья, интимной жизни (пункт 4 ПП-1119).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Биометрические данные</w:t>
      </w:r>
      <w:r>
        <w:t xml:space="preserve"> </w:t>
      </w:r>
      <w:r>
        <w:t xml:space="preserve">— сведения о физиологических и биологических особенностях человека, используемые для установления личности (пункт 4 ПП-1119).</w:t>
      </w:r>
    </w:p>
    <w:p>
      <w:pPr>
        <w:pStyle w:val="Compact"/>
        <w:numPr>
          <w:ilvl w:val="0"/>
          <w:numId w:val="1003"/>
        </w:numPr>
        <w:jc w:val="both"/>
      </w:pPr>
      <w:r>
        <w:rPr>
          <w:b/>
          <w:bCs/>
        </w:rPr>
        <w:t xml:space="preserve">Общедоступные персональные данные</w:t>
      </w:r>
      <w:r>
        <w:t xml:space="preserve"> </w:t>
      </w:r>
      <w:r>
        <w:t xml:space="preserve">— данные из общедоступных источников.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Иные персональные данные</w:t>
      </w:r>
      <w:r>
        <w:t xml:space="preserve"> </w:t>
      </w:r>
      <w:r>
        <w:t xml:space="preserve">— данные, не отнесённые к специальным, биометрическим или общедоступным.</w:t>
      </w:r>
    </w:p>
    <w:p>
      <w:pPr>
        <w:pStyle w:val="FirstParagraph"/>
        <w:jc w:val="both"/>
      </w:pPr>
      <w:r>
        <w:rPr>
          <w:b/>
          <w:bCs/>
        </w:rPr>
        <w:t xml:space="preserve">Установлено:</w:t>
      </w:r>
      <w:r>
        <w:t xml:space="preserve"> </w:t>
      </w:r>
      <w:r>
        <w:t xml:space="preserve">ИСПДн обрабатывает</w:t>
      </w:r>
      <w:r>
        <w:t xml:space="preserve"> </w:t>
      </w:r>
      <w:r>
        <w:rPr>
          <w:b/>
          <w:bCs/>
          <w:shd w:val="clear" w:color="auto" w:fill="C6EFCE"/>
        </w:rPr>
        <w:t xml:space="preserve">персональные данные сотрудников</w:t>
      </w:r>
      <w:r>
        <w:t xml:space="preserve"> </w:t>
      </w:r>
      <w:r>
        <w:t xml:space="preserve">категории персональных данных.</w:t>
      </w:r>
    </w:p>
    <w:bookmarkEnd w:id="26"/>
    <w:bookmarkStart w:id="27" w:name="Xd08a7ca11dea71fef74877ea0f242cd76d88eec"/>
    <w:p>
      <w:pPr>
        <w:pStyle w:val="Heading3"/>
        <w:jc w:val="left"/>
      </w:pPr>
      <w:r>
        <w:rPr>
          <w:color w:val="000000"/>
        </w:rPr>
        <w:t xml:space="preserve">2.2. Объём субъектов персональных данных</w:t>
      </w:r>
    </w:p>
    <w:p>
      <w:pPr>
        <w:pStyle w:val="FirstParagraph"/>
        <w:jc w:val="both"/>
      </w:pPr>
      <w:r>
        <w:t xml:space="preserve">Выбрать один вариант (нужное отметить):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Менее 100 000 субъектов</w:t>
      </w:r>
      <w:r>
        <w:t xml:space="preserve"> </w:t>
      </w:r>
      <w:r>
        <w:t xml:space="preserve">— только работники Оператора или субъекты в пределах одного субъекта Российской Федерации.</w:t>
      </w:r>
    </w:p>
    <w:p>
      <w:pPr>
        <w:pStyle w:val="Compact"/>
        <w:numPr>
          <w:ilvl w:val="0"/>
          <w:numId w:val="1006"/>
        </w:numPr>
        <w:jc w:val="both"/>
      </w:pPr>
      <w:r>
        <w:rPr>
          <w:b/>
          <w:bCs/>
        </w:rPr>
        <w:t xml:space="preserve">100 000 субъектов и более</w:t>
      </w:r>
      <w:r>
        <w:t xml:space="preserve"> </w:t>
      </w:r>
      <w:r>
        <w:t xml:space="preserve">— субъекты из нескольких субъектов Российской Федерации или без территориальных ограничений.</w:t>
      </w:r>
    </w:p>
    <w:p>
      <w:pPr>
        <w:pStyle w:val="FirstParagraph"/>
        <w:jc w:val="both"/>
      </w:pPr>
      <w:r>
        <w:rPr>
          <w:b/>
          <w:bCs/>
        </w:rPr>
        <w:t xml:space="preserve">Установлено:</w:t>
      </w:r>
      <w:r>
        <w:t xml:space="preserve"> </w:t>
      </w:r>
      <w:r>
        <w:rPr>
          <w:shd w:val="clear" w:color="auto" w:fill="C6EFCE"/>
        </w:rPr>
        <w:t xml:space="preserve">от 1 000 до 100 000 субъектов ПДн</w:t>
      </w:r>
      <w:r>
        <w:t xml:space="preserve"> </w:t>
      </w:r>
      <w:r>
        <w:t xml:space="preserve">субъектов персональных данных.</w:t>
      </w:r>
    </w:p>
    <w:bookmarkEnd w:id="27"/>
    <w:bookmarkStart w:id="28" w:name="Xcec2f733cba6121842944d3af601b3506300246"/>
    <w:p>
      <w:pPr>
        <w:pStyle w:val="Heading3"/>
        <w:jc w:val="left"/>
      </w:pPr>
      <w:r>
        <w:rPr>
          <w:color w:val="000000"/>
        </w:rPr>
        <w:t xml:space="preserve">2.3. Тип актуальных угроз безопасности персональных данных</w:t>
      </w:r>
    </w:p>
    <w:p>
      <w:pPr>
        <w:pStyle w:val="FirstParagraph"/>
        <w:jc w:val="both"/>
      </w:pPr>
      <w:r>
        <w:t xml:space="preserve">Тип актуальных угроз определяется в соответствии с пунктом 6 ПП-1119 применительно к наличию недокументированных возможностей в программном обеспечении, используемом в ИСПДн (Постановление Правительства РФ от 01.11.2012 № 1119, пункты 3–6).</w:t>
      </w:r>
    </w:p>
    <w:p>
      <w:pPr>
        <w:pStyle w:val="BodyText"/>
        <w:jc w:val="both"/>
      </w:pPr>
      <w:r>
        <w:t xml:space="preserve">Выбрать один вариант (нужное отметить):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Угрозы 1-го типа</w:t>
      </w:r>
      <w:r>
        <w:t xml:space="preserve"> </w:t>
      </w:r>
      <w:r>
        <w:t xml:space="preserve">— связаны с наличием недокументированных возможностей в системном программном обеспечении.</w:t>
      </w:r>
    </w:p>
    <w:p>
      <w:pPr>
        <w:pStyle w:val="Compact"/>
        <w:numPr>
          <w:ilvl w:val="0"/>
          <w:numId w:val="1008"/>
        </w:numPr>
        <w:jc w:val="both"/>
      </w:pPr>
      <w:r>
        <w:rPr>
          <w:b/>
          <w:bCs/>
        </w:rPr>
        <w:t xml:space="preserve">Угрозы 2-го типа</w:t>
      </w:r>
      <w:r>
        <w:t xml:space="preserve"> </w:t>
      </w:r>
      <w:r>
        <w:t xml:space="preserve">— связаны с наличием недокументированных возможностей в прикладном программном обеспечении.</w:t>
      </w:r>
    </w:p>
    <w:p>
      <w:pPr>
        <w:pStyle w:val="Compact"/>
        <w:numPr>
          <w:ilvl w:val="0"/>
          <w:numId w:val="1009"/>
        </w:numPr>
        <w:jc w:val="both"/>
      </w:pPr>
      <w:r>
        <w:rPr>
          <w:b/>
          <w:bCs/>
        </w:rPr>
        <w:t xml:space="preserve">Угрозы 3-го типа</w:t>
      </w:r>
      <w:r>
        <w:t xml:space="preserve"> </w:t>
      </w:r>
      <w:r>
        <w:t xml:space="preserve">— не связаны с наличием недокументированных возможностей в программном обеспечении.</w:t>
      </w:r>
    </w:p>
    <w:p>
      <w:pPr>
        <w:pStyle w:val="FirstParagraph"/>
        <w:jc w:val="both"/>
      </w:pPr>
      <w:r>
        <w:rPr>
          <w:b/>
          <w:bCs/>
        </w:rPr>
        <w:t xml:space="preserve">Установлено:</w:t>
      </w:r>
      <w:r>
        <w:t xml:space="preserve"> </w:t>
      </w:r>
      <w:r>
        <w:t xml:space="preserve">актуальными являются угрозы</w:t>
      </w:r>
      <w:r>
        <w:t xml:space="preserve"> </w:t>
      </w:r>
      <w:r>
        <w:rPr>
          <w:b/>
          <w:bCs/>
          <w:shd w:val="clear" w:color="auto" w:fill="C6EFCE"/>
        </w:rPr>
        <w:t xml:space="preserve">второго</w:t>
      </w:r>
      <w:r>
        <w:t xml:space="preserve"> </w:t>
      </w:r>
      <w:r>
        <w:t xml:space="preserve">типа.</w:t>
      </w:r>
    </w:p>
    <w:bookmarkEnd w:id="28"/>
    <w:bookmarkEnd w:id="29"/>
    <w:bookmarkStart w:id="31" w:name="Xec1117185a0646fbe7b7b4895c960f41eb8fd2b"/>
    <w:p>
      <w:pPr>
        <w:pStyle w:val="Heading2"/>
        <w:jc w:val="left"/>
      </w:pPr>
      <w:r>
        <w:rPr>
          <w:color w:val="000000"/>
        </w:rPr>
        <w:t xml:space="preserve">Раздел 3 — Матрица определения уровня защищённости</w:t>
      </w:r>
    </w:p>
    <w:p>
      <w:pPr>
        <w:pStyle w:val="FirstParagraph"/>
        <w:jc w:val="both"/>
      </w:pPr>
      <w:r>
        <w:t xml:space="preserve">На основании проведённого анализа Комиссия определила уровень защищённости ИСПДн с применением матрицы, установленной пунктами 8–15 ПП-1119 (Постановление Правительства РФ от 01.11.2012 № 1119, пункты 8–15).</w:t>
      </w:r>
    </w:p>
    <w:bookmarkStart w:id="30" w:name="X376021888e432479185d383b3ed5a1092449aa1"/>
    <w:p>
      <w:pPr>
        <w:pStyle w:val="Heading3"/>
        <w:jc w:val="left"/>
      </w:pPr>
      <w:r>
        <w:rPr>
          <w:color w:val="000000"/>
        </w:rPr>
        <w:t xml:space="preserve">Таблица 1 — Матрица уровней защищённости для ИСПДн с иными (не специальными) ПДн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Категория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Объём субъектов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Угрозы 1-го типа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Угрозы 2-го типа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Угрозы 3-го типа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Специальные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≥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УЗ-2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Специальные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&lt;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Биометрические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Любой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Общедоступные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≥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Общедоступные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&lt;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УЗ-4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≥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&lt; 100 000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УЗ-4</w:t>
            </w:r>
          </w:p>
        </w:tc>
      </w:tr>
    </w:tbl>
    <w:p>
      <w:pPr>
        <w:pStyle w:val="BlockText"/>
        <w:jc w:val="both"/>
      </w:pPr>
      <w:r>
        <w:rPr>
          <w:b/>
          <w:bCs/>
        </w:rPr>
        <w:t xml:space="preserve">Пояснение к уровням защищённости (ПП-1119 п.8–15):</w:t>
      </w:r>
    </w:p>
    <w:p>
      <w:pPr>
        <w:pStyle w:val="Compact"/>
        <w:numPr>
          <w:ilvl w:val="0"/>
          <w:numId w:val="1010"/>
        </w:numPr>
        <w:jc w:val="both"/>
      </w:pPr>
      <w:r>
        <w:rPr>
          <w:b/>
          <w:bCs/>
        </w:rPr>
        <w:t xml:space="preserve">УЗ-1</w:t>
      </w:r>
      <w:r>
        <w:t xml:space="preserve"> </w:t>
      </w:r>
      <w:r>
        <w:t xml:space="preserve">— наивысший уровень; требует выполнения мер всех уровней УЗ-1..УЗ-4 (Приказ ФСТЭК № 21, Приложение № 1, требования УЗ-1).</w:t>
      </w:r>
    </w:p>
    <w:p>
      <w:pPr>
        <w:pStyle w:val="Compact"/>
        <w:numPr>
          <w:ilvl w:val="0"/>
          <w:numId w:val="1010"/>
        </w:numPr>
        <w:jc w:val="both"/>
      </w:pPr>
      <w:r>
        <w:rPr>
          <w:b/>
          <w:bCs/>
        </w:rPr>
        <w:t xml:space="preserve">УЗ-2</w:t>
      </w:r>
      <w:r>
        <w:t xml:space="preserve"> </w:t>
      </w:r>
      <w:r>
        <w:t xml:space="preserve">— требует выполнения мер УЗ-2..УЗ-4 включительно.</w:t>
      </w:r>
    </w:p>
    <w:p>
      <w:pPr>
        <w:pStyle w:val="Compact"/>
        <w:numPr>
          <w:ilvl w:val="0"/>
          <w:numId w:val="1010"/>
        </w:numPr>
        <w:jc w:val="both"/>
      </w:pPr>
      <w:r>
        <w:rPr>
          <w:b/>
          <w:bCs/>
        </w:rPr>
        <w:t xml:space="preserve">УЗ-3</w:t>
      </w:r>
      <w:r>
        <w:t xml:space="preserve"> </w:t>
      </w:r>
      <w:r>
        <w:t xml:space="preserve">— требует выполнения мер УЗ-3..УЗ-4 включительно.</w:t>
      </w:r>
    </w:p>
    <w:p>
      <w:pPr>
        <w:pStyle w:val="Compact"/>
        <w:numPr>
          <w:ilvl w:val="0"/>
          <w:numId w:val="1010"/>
        </w:numPr>
        <w:jc w:val="both"/>
      </w:pPr>
      <w:r>
        <w:rPr>
          <w:b/>
          <w:bCs/>
        </w:rPr>
        <w:t xml:space="preserve">УЗ-4</w:t>
      </w:r>
      <w:r>
        <w:t xml:space="preserve"> </w:t>
      </w:r>
      <w:r>
        <w:t xml:space="preserve">— базовый уровень; наименьший набор мер.</w:t>
      </w:r>
    </w:p>
    <w:bookmarkEnd w:id="30"/>
    <w:bookmarkEnd w:id="31"/>
    <w:bookmarkStart w:id="32" w:name="раздел-4--решение-комиссии"/>
    <w:p>
      <w:pPr>
        <w:pStyle w:val="Heading2"/>
        <w:jc w:val="left"/>
      </w:pPr>
      <w:r>
        <w:rPr>
          <w:color w:val="000000"/>
        </w:rPr>
        <w:t xml:space="preserve">Раздел 4 — Решение Комиссии</w:t>
      </w:r>
    </w:p>
    <w:p>
      <w:pPr>
        <w:pStyle w:val="FirstParagraph"/>
        <w:jc w:val="both"/>
      </w:pPr>
      <w:r>
        <w:t xml:space="preserve">На основании результатов анализа, проведённого в Разделах 2–3 настоящего Акта, руководствуясь пунктами 8–15 ПП-1119 и частью 3 статьи 19 Федерального закона от 27.07.2006 № 152-ФЗ «О персональных данных», Комиссия</w:t>
      </w:r>
      <w:r>
        <w:t xml:space="preserve"> </w:t>
      </w:r>
      <w:r>
        <w:rPr>
          <w:b/>
          <w:bCs/>
        </w:rPr>
        <w:t xml:space="preserve">решила</w:t>
      </w:r>
      <w:r>
        <w:t xml:space="preserve">:</w:t>
      </w:r>
    </w:p>
    <w:p>
      <w:pPr>
        <w:pStyle w:val="BodyText"/>
        <w:jc w:val="both"/>
      </w:pPr>
      <w:r>
        <w:rPr>
          <w:b/>
          <w:bCs/>
        </w:rPr>
        <w:t xml:space="preserve">Установить для ИСПДн «</w:t>
      </w:r>
      <w:r>
        <w:rPr>
          <w:b/>
          <w:bCs/>
          <w:shd w:val="clear" w:color="auto" w:fill="C6EFCE"/>
        </w:rPr>
        <w:t xml:space="preserve">ИСПДн «Управление персоналом»</w:t>
      </w:r>
      <w:r>
        <w:rPr>
          <w:b/>
          <w:bCs/>
        </w:rPr>
        <w:t xml:space="preserve">» уровень защищённости — УЗ-</w:t>
      </w:r>
      <w:r>
        <w:rPr>
          <w:b/>
          <w:bCs/>
          <w:shd w:val="clear" w:color="auto" w:fill="C6EFCE"/>
        </w:rPr>
        <w:t xml:space="preserve">3</w:t>
      </w:r>
      <w:r>
        <w:rPr>
          <w:b/>
          <w:bCs/>
        </w:rPr>
        <w:t xml:space="preserve">.</w:t>
      </w:r>
    </w:p>
    <w:bookmarkEnd w:id="32"/>
    <w:bookmarkStart w:id="34" w:name="Xb01a5140e10efb1b5c6864fc3df692caf39110e"/>
    <w:p>
      <w:pPr>
        <w:pStyle w:val="Heading2"/>
        <w:jc w:val="left"/>
      </w:pPr>
      <w:r>
        <w:rPr>
          <w:color w:val="000000"/>
        </w:rPr>
        <w:t xml:space="preserve">Раздел 5 — Применяемые меры защиты по ФСТЭК № 21</w:t>
      </w:r>
    </w:p>
    <w:p>
      <w:pPr>
        <w:pStyle w:val="FirstParagraph"/>
        <w:jc w:val="both"/>
      </w:pPr>
      <w:r>
        <w:t xml:space="preserve">Оператор обязан обеспечить применение организационных и технических мер защиты персональных данных в соответствии с установленным уровнем защищённости согласно Приказу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(Приказ ФСТЭК России от 18.02.2013 № 21, Приложение № 1).</w:t>
      </w:r>
    </w:p>
    <w:p>
      <w:pPr>
        <w:pStyle w:val="BodyText"/>
        <w:jc w:val="both"/>
      </w:pPr>
      <w:r>
        <w:t xml:space="preserve">Уровень защищённости информационной системы персональных данных устанавливается с учётом возможного ущерба субъекту персональных данных в случае нарушения настоящего Федерального закона и определяется Правительством Российской Федерации (статья 19 часть 3 Федерального закона от 27.07.2006 № 152-ФЗ).</w:t>
      </w:r>
    </w:p>
    <w:bookmarkStart w:id="33" w:name="Xadd67bd17bbec4e96bb86ca20ce67491bff2cec"/>
    <w:p>
      <w:pPr>
        <w:pStyle w:val="Heading3"/>
        <w:jc w:val="left"/>
      </w:pPr>
      <w:r>
        <w:rPr>
          <w:color w:val="000000"/>
        </w:rPr>
        <w:t xml:space="preserve">Обязательные меры для установленного уровня (УЗ-</w:t>
      </w:r>
      <w:r>
        <w:rPr>
          <w:color w:val="000000"/>
          <w:shd w:val="clear" w:color="auto" w:fill="C6EFCE"/>
        </w:rPr>
        <w:t xml:space="preserve">3</w:t>
      </w:r>
      <w:r>
        <w:rPr>
          <w:color w:val="000000"/>
        </w:rPr>
        <w:t xml:space="preserve">)</w:t>
      </w:r>
    </w:p>
    <w:p>
      <w:pPr>
        <w:pStyle w:val="FirstParagraph"/>
        <w:jc w:val="both"/>
      </w:pPr>
      <w:r>
        <w:t xml:space="preserve">Комиссия определила, что Оператор обязан реализовать следующие группы мер в соответствии с Приказом ФСТЭК № 21 (Приложение № 1):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Группа мер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Условие обязательности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Идентификация и аутентификация субъектов доступа и объектов доступа (ИАФ)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Управление доступом субъектов доступа к объектам доступа (УПД)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Ограничение программной среды (ОПС)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Защита машинных носителей информации (ЗНИ)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Регистрация событий безопасности (РСБ)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Антивирусная защита (АВЗ)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Обнаружение (предотвращение) вторжений (СОВ)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Контроль (анализ) защищённости персональных данных (АНЗ)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Обеспечение целостности ИСПДн и персональных данных (ОЦЛ)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Обеспечение доступности персональных данных (ОДТ)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Защита среды виртуализации (ЗСВ)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При применении технологий виртуализации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Защита технических средств (ЗТС)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Защита ИСПДн, её средств, систем связи и передачи данных (ЗИС)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Выявление инцидентов и реагирование на них (ИНЦ)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Управление конфигурацией ИСПДн и системы защиты ПДн (УКФ)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Обязательно для УЗ-4, 3, 2, 1</w:t>
            </w:r>
          </w:p>
        </w:tc>
      </w:tr>
    </w:tbl>
    <w:p>
      <w:pPr>
        <w:pStyle w:val="BodyText"/>
        <w:jc w:val="both"/>
      </w:pPr>
      <w:r>
        <w:rPr>
          <w:i/>
          <w:iCs/>
        </w:rPr>
        <w:t xml:space="preserve">Конкретные меры и их параметры (базовые и адаптированные) определяются Оператором с учётом модели угроз и настоящего Акта.</w:t>
      </w:r>
    </w:p>
    <w:bookmarkEnd w:id="33"/>
    <w:bookmarkEnd w:id="34"/>
    <w:bookmarkStart w:id="35" w:name="раздел-6--подписи-комиссии"/>
    <w:p>
      <w:pPr>
        <w:pStyle w:val="Heading2"/>
        <w:jc w:val="left"/>
      </w:pPr>
      <w:r>
        <w:rPr>
          <w:color w:val="000000"/>
        </w:rPr>
        <w:t xml:space="preserve">Раздел 6 — Подписи Комиссии</w:t>
      </w:r>
    </w:p>
    <w:p>
      <w:pPr>
        <w:pStyle w:val="FirstParagraph"/>
        <w:jc w:val="both"/>
      </w:pPr>
      <w:r>
        <w:t xml:space="preserve">Настоящий Акт подписан всеми членами Комиссии и вступает в силу с даты подписания.</w:t>
      </w:r>
    </w:p>
    <w:p>
      <w:pPr>
        <w:pStyle w:val="BodyText"/>
        <w:jc w:val="both"/>
      </w:pPr>
      <w:r>
        <w:rPr>
          <w:b/>
          <w:bCs/>
        </w:rPr>
        <w:t xml:space="preserve">Председатель Комиссии: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  <w:jc w:val="both"/>
      </w:pPr>
      <w:r>
        <w:rPr>
          <w:b/>
          <w:bCs/>
        </w:rPr>
        <w:t xml:space="preserve">Члены Комиссии: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bookmarkEnd w:id="35"/>
    <w:bookmarkStart w:id="36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акта к утверждению руководителем. Удалите страницу перед подписанием и хранением оригинала.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Гриф утверждения (шапка):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 организации (генеральный директор, директор и т.д.)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 (как в ЕГРЮЛ)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руководителя (формат: А.Б. Иванов)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[approval.day/monthGenitive/year]</w:t>
      </w:r>
      <w:r>
        <w:t xml:space="preserve"> </w:t>
      </w:r>
      <w:r>
        <w:t xml:space="preserve">— дата утверждения акта руководителем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Реквизиты акта: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rPr>
          <w:rStyle w:val="VerbatimChar"/>
        </w:rPr>
        <w:t xml:space="preserve">~~12~~</w:t>
      </w:r>
      <w:r>
        <w:t xml:space="preserve"> </w:t>
      </w:r>
      <w:r>
        <w:t xml:space="preserve">— порядковый номер акта в системе внутреннего документооборота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rPr>
          <w:rStyle w:val="VerbatimChar"/>
        </w:rPr>
        <w:t xml:space="preserve">[order.day/monthGenitive/year]</w:t>
      </w:r>
      <w:r>
        <w:t xml:space="preserve"> </w:t>
      </w:r>
      <w:r>
        <w:t xml:space="preserve">— дата составления (обычно совпадает с датой заседания комиссии)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Состав комиссии: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t xml:space="preserve">Заполните должность и Фамилию И.О. для председателя и каждого из 3 членов комиссии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t xml:space="preserve">Комиссия создаётся приказом руководителя — убедитесь, что состав совпадает с действующим приказом о назначении ответственных (ст. 18.1 ч. 1 152-ФЗ)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1 — ИСПДн: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~~ИСПДн «Управление персоналом»~~</w:t>
      </w:r>
      <w:r>
        <w:t xml:space="preserve"> </w:t>
      </w:r>
      <w:r>
        <w:t xml:space="preserve">— официальное наименование ИСПДн (должно совпадать во всех документах пакета ОРД)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~~ведение кадрового учёта и исполнение трудовых обязательств~~</w:t>
      </w:r>
      <w:r>
        <w:t xml:space="preserve"> </w:t>
      </w:r>
      <w:r>
        <w:t xml:space="preserve">— назначение системы (кратко: например, «обработка ПДн сотрудников»)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~~г. Москва, ул. Примерная, д. 1, офис 1~~</w:t>
      </w:r>
      <w:r>
        <w:t xml:space="preserve"> </w:t>
      </w:r>
      <w:r>
        <w:t xml:space="preserve">— адрес или наименование подразделения, где размещена система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Разделы 2–3 — определение уровня защищённости (ПП-1119 пп. 3–15):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В разд. 2.1 выберите ровно одну категорию ПДн, поставьте галочку, укажите в</w:t>
      </w:r>
      <w:r>
        <w:t xml:space="preserve"> </w:t>
      </w:r>
      <w:r>
        <w:rPr>
          <w:rStyle w:val="VerbatimChar"/>
        </w:rPr>
        <w:t xml:space="preserve">~~персональные данные сотрудников~~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В разд. 2.2 выберите объём субъектов, заполните</w:t>
      </w:r>
      <w:r>
        <w:t xml:space="preserve"> </w:t>
      </w:r>
      <w:r>
        <w:rPr>
          <w:rStyle w:val="VerbatimChar"/>
        </w:rPr>
        <w:t xml:space="preserve">~~от 1 000 до 100 000 субъектов ПДн~~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В разд. 2.3 определите тип актуальных угроз (1/2/3) на основании модели угроз, заполните</w:t>
      </w:r>
      <w:r>
        <w:t xml:space="preserve"> </w:t>
      </w:r>
      <w:r>
        <w:rPr>
          <w:rStyle w:val="VerbatimChar"/>
        </w:rPr>
        <w:t xml:space="preserve">~~второго~~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По матрице (Таблица 1) пересеките категорию, объём и тип угрозы — получите УЗ-1..УЗ-4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4 — решение: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rPr>
          <w:rStyle w:val="VerbatimChar"/>
        </w:rPr>
        <w:t xml:space="preserve">~~3~~</w:t>
      </w:r>
      <w:r>
        <w:t xml:space="preserve"> </w:t>
      </w:r>
      <w:r>
        <w:t xml:space="preserve">— итоговый уровень защищённости (цифра: 1, 2, 3 или 4), определённый по матрице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Основание: ПП-1119 пп. 8–15 + ст. 19 ч. 3 152-ФЗ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5 — меры по Приказу ФСТЭК № 21:</w:t>
      </w:r>
    </w:p>
    <w:p>
      <w:pPr>
        <w:pStyle w:val="Compact"/>
        <w:numPr>
          <w:ilvl w:val="0"/>
          <w:numId w:val="1017"/>
        </w:numPr>
        <w:jc w:val="both"/>
        <w:shd w:val="clear" w:color="auto" w:fill="F2F2F2"/>
      </w:pPr>
      <w:r>
        <w:t xml:space="preserve">Таблица мер носит справочный характер; актуальный перечень конкретных мер оформляется отдельно в модели угроз и плане защиты</w:t>
      </w:r>
    </w:p>
    <w:p>
      <w:pPr>
        <w:pStyle w:val="Compact"/>
        <w:numPr>
          <w:ilvl w:val="0"/>
          <w:numId w:val="1017"/>
        </w:numPr>
        <w:jc w:val="both"/>
        <w:shd w:val="clear" w:color="auto" w:fill="F2F2F2"/>
      </w:pPr>
      <w:r>
        <w:t xml:space="preserve">Для УЗ-3/УЗ-4 обязательны СОВ и АНЗ, для УЗ-4 — всё базовое (ИАФ, УПД, ОПС, ЗНИ, РСБ, АВЗ, ОЦЛ, ОДТ, ЗТС, ЗИС, ИНЦ, УКФ)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Хранение:</w:t>
      </w:r>
    </w:p>
    <w:p>
      <w:pPr>
        <w:pStyle w:val="Compact"/>
        <w:numPr>
          <w:ilvl w:val="0"/>
          <w:numId w:val="1018"/>
        </w:numPr>
        <w:jc w:val="both"/>
        <w:shd w:val="clear" w:color="auto" w:fill="F2F2F2"/>
      </w:pPr>
      <w:r>
        <w:t xml:space="preserve">Акт хранится бессрочно в составе пакета ОРД по защите ПДн (ст. 18.1 ч. 4 152-ФЗ)</w:t>
      </w:r>
    </w:p>
    <w:p>
      <w:pPr>
        <w:pStyle w:val="Compact"/>
        <w:numPr>
          <w:ilvl w:val="0"/>
          <w:numId w:val="1018"/>
        </w:numPr>
        <w:jc w:val="both"/>
        <w:shd w:val="clear" w:color="auto" w:fill="F2F2F2"/>
      </w:pPr>
      <w:r>
        <w:t xml:space="preserve">При изменении ИСПДн, состава обрабатываемых данных или угроз — пересматривается и переутверждается</w:t>
      </w:r>
    </w:p>
    <w:bookmarkEnd w:id="36"/>
    <w:bookmarkEnd w:id="37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Акт определения уровня защищённости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2026-06-05T15:33:23Z</dcterms:created>
  <dcterms:modified xsi:type="dcterms:W3CDTF">2026-06-05T15:33:23Z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