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48541e906fe38a849144181e9e2862b7b915e3d"/>
    <w:p>
      <w:pPr>
        <w:pStyle w:val="Heading1"/>
        <w:jc w:val="center"/>
      </w:pPr>
      <w:r>
        <w:rPr>
          <w:color w:val="000000"/>
        </w:rPr>
        <w:t xml:space="preserve">АКТ уничтожения персональных данных субъектов на электронных носителях</w:t>
      </w:r>
    </w:p>
    <w:p>
      <w:pPr>
        <w:pStyle w:val="FirstParagraph"/>
        <w:jc w:val="both"/>
      </w:pPr>
      <w:r>
        <w:rPr>
          <w:b/>
          <w:bCs/>
        </w:rPr>
        <w:t xml:space="preserve">Приложение № __</w:t>
      </w:r>
      <w:r>
        <w:t xml:space="preserve"> </w:t>
      </w:r>
      <w:r>
        <w:t xml:space="preserve">к приказу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от</w:t>
      </w:r>
      <w:r>
        <w:t xml:space="preserve"> </w:t>
      </w:r>
      <w:r>
        <w:rPr>
          <w:shd w:val="clear" w:color="auto" w:fill="C6EFCE"/>
        </w:rPr>
        <w:t xml:space="preserve">05.06.2026</w:t>
      </w:r>
      <w:r>
        <w:t xml:space="preserve"> </w:t>
      </w:r>
      <w:r>
        <w:t xml:space="preserve">№</w:t>
      </w:r>
      <w:r>
        <w:t xml:space="preserve"> </w:t>
      </w:r>
      <w:r>
        <w:rPr>
          <w:shd w:val="clear" w:color="auto" w:fill="C6EFCE"/>
        </w:rPr>
        <w:t xml:space="preserve">1</w:t>
      </w:r>
    </w:p>
    <w:p>
      <w:pPr>
        <w:pStyle w:val="BodyText"/>
        <w:jc w:val="both"/>
      </w:pPr>
      <w:r>
        <w:rPr>
          <w:b/>
          <w:bCs/>
        </w:rPr>
        <w:t xml:space="preserve">ФОРМА</w:t>
      </w:r>
    </w:p>
    <w:p>
      <w:pPr>
        <w:pStyle w:val="BodyText"/>
        <w:jc w:val="right"/>
      </w:pPr>
      <w:r>
        <w:rPr>
          <w:b/>
          <w:bCs/>
        </w:rP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_____________________________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right"/>
      </w:pPr>
      <w:r>
        <w:t xml:space="preserve">«</w:t>
      </w:r>
      <w:r>
        <w:rPr>
          <w:shd w:val="clear" w:color="auto" w:fill="C6EFCE"/>
        </w:rPr>
        <w:t xml:space="preserve">05</w:t>
      </w:r>
      <w:r>
        <w:t xml:space="preserve">»</w:t>
      </w:r>
      <w:r>
        <w:t xml:space="preserve"> </w:t>
      </w:r>
      <w:r>
        <w:rPr>
          <w:shd w:val="clear" w:color="auto" w:fill="C6EFCE"/>
        </w:rPr>
        <w:t xml:space="preserve">июня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23" w:name="X1ea50aeecd78eaf8dbf4913ee163308605e70cf"/>
    <w:p>
      <w:pPr>
        <w:pStyle w:val="Heading2"/>
        <w:jc w:val="left"/>
      </w:pPr>
      <w:r>
        <w:rPr>
          <w:color w:val="000000"/>
          <w:shd w:val="clear" w:color="auto" w:fill="C6EFCE"/>
        </w:rPr>
        <w:t xml:space="preserve">Общество с ограниченной ответственностью «Ромашка»</w:t>
      </w:r>
    </w:p>
    <w:bookmarkStart w:id="20" w:name="акт--12"/>
    <w:p>
      <w:pPr>
        <w:pStyle w:val="Heading3"/>
        <w:jc w:val="left"/>
      </w:pPr>
      <w:r>
        <w:rPr>
          <w:color w:val="000000"/>
        </w:rPr>
        <w:t xml:space="preserve">АКТ №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12</w:t>
      </w:r>
    </w:p>
    <w:bookmarkEnd w:id="20"/>
    <w:bookmarkStart w:id="21" w:name="от-05-июня-2026-г"/>
    <w:p>
      <w:pPr>
        <w:pStyle w:val="Heading3"/>
        <w:jc w:val="left"/>
      </w:pPr>
      <w:r>
        <w:rPr>
          <w:color w:val="000000"/>
        </w:rPr>
        <w:t xml:space="preserve">от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05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июня</w:t>
      </w:r>
      <w:r>
        <w:rPr>
          <w:color w:val="000000"/>
        </w:rPr>
        <w:t xml:space="preserve"> </w:t>
      </w:r>
      <w:r>
        <w:rPr>
          <w:color w:val="000000"/>
          <w:shd w:val="clear" w:color="auto" w:fill="C6EFCE"/>
        </w:rPr>
        <w:t xml:space="preserve">2026</w:t>
      </w:r>
      <w:r>
        <w:rPr>
          <w:color w:val="000000"/>
        </w:rPr>
        <w:t xml:space="preserve"> </w:t>
      </w:r>
      <w:r>
        <w:rPr>
          <w:color w:val="000000"/>
        </w:rPr>
        <w:t xml:space="preserve">г.</w:t>
      </w:r>
    </w:p>
    <w:bookmarkEnd w:id="21"/>
    <w:bookmarkStart w:id="22" w:name="X736d7f958ae6565e4f04c245d96b50ce2258f34"/>
    <w:p>
      <w:pPr>
        <w:pStyle w:val="Heading3"/>
        <w:jc w:val="left"/>
      </w:pPr>
      <w:r>
        <w:rPr>
          <w:color w:val="000000"/>
        </w:rPr>
        <w:t xml:space="preserve">уничтожения персональных данных субъектов на электронных носителях</w:t>
      </w:r>
    </w:p>
    <w:p>
      <w:pPr>
        <w:pStyle w:val="FirstParagraph"/>
        <w:jc w:val="both"/>
      </w:pPr>
      <w:r>
        <w:t xml:space="preserve">Настоящий Акт составлен Комиссией по уничтожению персональных данных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Оператор) в следующем составе:</w:t>
      </w:r>
    </w:p>
    <w:p>
      <w:pPr>
        <w:pStyle w:val="BodyText"/>
        <w:jc w:val="both"/>
      </w:pPr>
      <w:r>
        <w:rPr>
          <w:b/>
          <w:bCs/>
        </w:rPr>
        <w:t xml:space="preserve">Председатель Комиссии: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Фамилия И.О.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Генеральный директор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Иванов И.И.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</w:t>
            </w:r>
          </w:p>
        </w:tc>
      </w:tr>
    </w:tbl>
    <w:p>
      <w:pPr>
        <w:pStyle w:val="BodyText"/>
        <w:jc w:val="both"/>
      </w:pPr>
      <w:r>
        <w:rPr>
          <w:b/>
          <w:bCs/>
        </w:rPr>
        <w:t xml:space="preserve">Члены Комиссии: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Фамилия И.О.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Начальник отдела кадров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Сидорова М.С.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Системный администратор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Петров А.Н.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Юрисконсульт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Козлова Е.Д.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</w:t>
            </w:r>
          </w:p>
        </w:tc>
      </w:tr>
    </w:tbl>
    <w:bookmarkEnd w:id="22"/>
    <w:bookmarkEnd w:id="23"/>
    <w:bookmarkStart w:id="24" w:name="раздел-1--основание-уничтожения"/>
    <w:p>
      <w:pPr>
        <w:pStyle w:val="Heading2"/>
        <w:jc w:val="left"/>
      </w:pPr>
      <w:r>
        <w:rPr>
          <w:color w:val="000000"/>
        </w:rPr>
        <w:t xml:space="preserve">Раздел 1 — Основание уничтожения</w:t>
      </w:r>
    </w:p>
    <w:p>
      <w:pPr>
        <w:pStyle w:val="FirstParagraph"/>
        <w:jc w:val="both"/>
      </w:pPr>
      <w:r>
        <w:t xml:space="preserve">Комиссия установила наличие одного из следующих оснований для уничтожения персональных данных, предусмотренных статьёй 21 Федерального закона от 27.07.2006 № 152-ФЗ «О персональных данных» (нужное отметить):</w:t>
      </w:r>
    </w:p>
    <w:p>
      <w:pPr>
        <w:pStyle w:val="Compact"/>
        <w:numPr>
          <w:ilvl w:val="0"/>
          <w:numId w:val="1001"/>
        </w:numPr>
        <w:jc w:val="both"/>
      </w:pPr>
      <w:r>
        <w:rPr>
          <w:b/>
          <w:bCs/>
        </w:rPr>
        <w:t xml:space="preserve">1.1. Достижение цели обработки</w:t>
      </w:r>
      <w:r>
        <w:t xml:space="preserve"> </w:t>
      </w:r>
      <w:r>
        <w:t xml:space="preserve">— первоначальная цель, для которой собирались персональные данные, достигнута; дальнейшая обработка не требуется (статья 21 часть 1 Федерального закона от 27.07.2006 № 152-ФЗ).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1.2. Утрата необходимости в достижении цели</w:t>
      </w:r>
      <w:r>
        <w:t xml:space="preserve"> </w:t>
      </w:r>
      <w:r>
        <w:t xml:space="preserve">— обстоятельства, обусловившие необходимость обработки, отпали до истечения установленного срока хранения.</w:t>
      </w:r>
    </w:p>
    <w:p>
      <w:pPr>
        <w:pStyle w:val="Compact"/>
        <w:numPr>
          <w:ilvl w:val="0"/>
          <w:numId w:val="1003"/>
        </w:numPr>
        <w:jc w:val="both"/>
      </w:pPr>
      <w:r>
        <w:rPr>
          <w:b/>
          <w:bCs/>
        </w:rPr>
        <w:t xml:space="preserve">1.3. Отзыв субъектом согласия на обработку персональных данных.</w:t>
      </w:r>
    </w:p>
    <w:p>
      <w:pPr>
        <w:pStyle w:val="FirstParagraph"/>
        <w:jc w:val="both"/>
      </w:pPr>
      <w:r>
        <w:t xml:space="preserve">При отзыве субъектом персональных данных согласия на обработку персональных данных Оператор прекращает обработку персональных данных и уничтожает их в срок, не превышающий тридцати дней с даты поступления отзыва, при отсутствии иного законного основания для обработки (статья 21 часть 3 Федерального закона от 27.07.2006 № 152-ФЗ).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1.4. Выявление неправомерной обработки персональных данных.</w:t>
      </w:r>
    </w:p>
    <w:p>
      <w:pPr>
        <w:pStyle w:val="FirstParagraph"/>
        <w:jc w:val="both"/>
      </w:pPr>
      <w:r>
        <w:t xml:space="preserve">При выявлении неправомерной обработки персональных данных, устранение которой невозможно, Оператор уничтожает персональные данные в срок, не превышающий десяти рабочих дней с даты выявления нарушения (статья 21 часть 5 Федерального закона от 27.07.2006 № 152-ФЗ).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1.5. Истечение установленного срока хранения персональных данных.</w:t>
      </w:r>
    </w:p>
    <w:p>
      <w:pPr>
        <w:pStyle w:val="FirstParagraph"/>
      </w:pPr>
      <w:r>
        <w:rPr>
          <w:b/>
          <w:bCs/>
        </w:rPr>
        <w:t xml:space="preserve">Дата наступления основания уничтожения:</w:t>
      </w:r>
      <w:r>
        <w:t xml:space="preserve"> </w:t>
      </w: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End w:id="24"/>
    <w:bookmarkStart w:id="25" w:name="Xfdaf2cc14a8be6b5d1939c2648350f65af56d33"/>
    <w:p>
      <w:pPr>
        <w:pStyle w:val="Heading2"/>
        <w:jc w:val="left"/>
      </w:pPr>
      <w:r>
        <w:rPr>
          <w:color w:val="000000"/>
        </w:rPr>
        <w:t xml:space="preserve">Раздел 2 — Перечень уничтоженных персональных данных на электронных носителях</w:t>
      </w:r>
    </w:p>
    <w:p>
      <w:pPr>
        <w:pStyle w:val="FirstParagraph"/>
        <w:jc w:val="both"/>
      </w:pPr>
      <w:r>
        <w:t xml:space="preserve">Комиссия произвела уничтожение персональных данных в соответствии с пунктом 14 Постановления Правительства РФ от 01.11.2012 № 1119 и настоящим Актом: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Наименование носителя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Инвентарный № / маркировка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Место хранения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Содержащиеся ПДн (категория)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Основание уничтожения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Примечание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bookmarkEnd w:id="25"/>
    <w:bookmarkStart w:id="26" w:name="раздел-3--способ-уничтожения"/>
    <w:p>
      <w:pPr>
        <w:pStyle w:val="Heading2"/>
        <w:jc w:val="left"/>
      </w:pPr>
      <w:r>
        <w:rPr>
          <w:color w:val="000000"/>
        </w:rPr>
        <w:t xml:space="preserve">Раздел 3 — Способ уничтожения</w:t>
      </w:r>
    </w:p>
    <w:p>
      <w:pPr>
        <w:pStyle w:val="FirstParagraph"/>
        <w:jc w:val="both"/>
      </w:pPr>
      <w:r>
        <w:t xml:space="preserve">Уничтожение персональных данных на электронных носителях, перечисленных в Разделе 2 настоящего Акта, произведено следующим способом (нужное отметить):</w:t>
      </w:r>
    </w:p>
    <w:p>
      <w:pPr>
        <w:pStyle w:val="Compact"/>
        <w:numPr>
          <w:ilvl w:val="0"/>
          <w:numId w:val="1006"/>
        </w:numPr>
        <w:jc w:val="both"/>
      </w:pPr>
      <w:r>
        <w:rPr>
          <w:b/>
          <w:bCs/>
        </w:rPr>
        <w:t xml:space="preserve">3.1. Гарантированное программное уничтожение</w:t>
      </w:r>
      <w:r>
        <w:t xml:space="preserve"> </w:t>
      </w:r>
      <w:r>
        <w:t xml:space="preserve">— многократная перезапись данных (не менее трёх проходов) с применением сертифицированного средства гарантированного уничтожения информации. Восстановление данных признаётся технически невозможным.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3.2. Физическое уничтожение носителя</w:t>
      </w:r>
      <w:r>
        <w:t xml:space="preserve"> </w:t>
      </w:r>
      <w:r>
        <w:t xml:space="preserve">— механическое разрушение (шредирование, размагничивание, дробление) в соответствии с ГОСТ Р 7.0.8-2013 «Делопроизводство и архивное дело. Термины и определения». Носитель приведён в состояние, исключающее дальнейшее использование.</w:t>
      </w:r>
    </w:p>
    <w:p>
      <w:pPr>
        <w:pStyle w:val="Compact"/>
        <w:numPr>
          <w:ilvl w:val="0"/>
          <w:numId w:val="1008"/>
        </w:numPr>
        <w:jc w:val="both"/>
      </w:pPr>
      <w:r>
        <w:rPr>
          <w:b/>
          <w:bCs/>
        </w:rPr>
        <w:t xml:space="preserve">3.3. Комбинированный способ</w:t>
      </w:r>
      <w:r>
        <w:t xml:space="preserve"> </w:t>
      </w:r>
      <w:r>
        <w:t xml:space="preserve">— программное уничтожение данных с последующим физическим уничтожением носителя.</w:t>
      </w:r>
    </w:p>
    <w:p>
      <w:pPr>
        <w:pStyle w:val="FirstParagraph"/>
      </w:pPr>
      <w:r>
        <w:rPr>
          <w:b/>
          <w:bCs/>
        </w:rPr>
        <w:t xml:space="preserve">Применённый инструмент / средство уничтожения:</w:t>
      </w:r>
      <w:r>
        <w:t xml:space="preserve"> </w:t>
      </w:r>
      <w:r>
        <w:t xml:space="preserve">_________________________________________</w:t>
      </w:r>
    </w:p>
    <w:p>
      <w:pPr>
        <w:pStyle w:val="BodyText"/>
        <w:jc w:val="both"/>
      </w:pPr>
      <w:r>
        <w:rPr>
          <w:b/>
          <w:bCs/>
        </w:rPr>
        <w:t xml:space="preserve">Дата уничтожения:</w:t>
      </w:r>
      <w:r>
        <w:t xml:space="preserve"> </w:t>
      </w:r>
      <w:r>
        <w:t xml:space="preserve">«</w:t>
      </w:r>
      <w:r>
        <w:rPr>
          <w:shd w:val="clear" w:color="auto" w:fill="C6EFCE"/>
        </w:rPr>
        <w:t xml:space="preserve">05</w:t>
      </w:r>
      <w:r>
        <w:t xml:space="preserve">»</w:t>
      </w:r>
      <w:r>
        <w:t xml:space="preserve"> </w:t>
      </w:r>
      <w:r>
        <w:rPr>
          <w:shd w:val="clear" w:color="auto" w:fill="C6EFCE"/>
        </w:rPr>
        <w:t xml:space="preserve">июня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End w:id="26"/>
    <w:bookmarkStart w:id="27" w:name="Xd7331e89feff2ede800fd4faa41b0f8ea53acd7"/>
    <w:p>
      <w:pPr>
        <w:pStyle w:val="Heading2"/>
        <w:jc w:val="left"/>
      </w:pPr>
      <w:r>
        <w:rPr>
          <w:color w:val="000000"/>
        </w:rPr>
        <w:t xml:space="preserve">Раздел 4 — Уведомление субъекта персональных данных</w:t>
      </w:r>
    </w:p>
    <w:p>
      <w:pPr>
        <w:pStyle w:val="FirstParagraph"/>
        <w:jc w:val="both"/>
      </w:pPr>
      <w:r>
        <w:t xml:space="preserve">В случаях, предусмотренных Федеральным законом от 27.07.2006 № 152-ФЗ, после уничтожения персональных данных Оператор уведомляет субъекта персональных данных или его законного представителя о произведённом уничтожении (статья 21 часть 4 Федерального закона от 27.07.2006 № 152-ФЗ).</w:t>
      </w:r>
    </w:p>
    <w:p>
      <w:pPr>
        <w:pStyle w:val="BodyText"/>
        <w:jc w:val="both"/>
      </w:pPr>
      <w:r>
        <w:t xml:space="preserve">Уведомление субъекта (нужное отметить):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Уведомление направлено</w:t>
      </w:r>
      <w:r>
        <w:t xml:space="preserve"> </w:t>
      </w:r>
      <w:r>
        <w:t xml:space="preserve">субъекту (законному представителю) 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  <w:r>
        <w:br/>
      </w:r>
      <w:r>
        <w:t xml:space="preserve">Способ уведомления: ___________________________________________</w:t>
      </w:r>
    </w:p>
    <w:p>
      <w:pPr>
        <w:pStyle w:val="Compact"/>
        <w:numPr>
          <w:ilvl w:val="0"/>
          <w:numId w:val="1010"/>
        </w:numPr>
        <w:jc w:val="both"/>
      </w:pPr>
      <w:r>
        <w:rPr>
          <w:b/>
          <w:bCs/>
        </w:rPr>
        <w:t xml:space="preserve">Уведомление не требуется</w:t>
      </w:r>
      <w:r>
        <w:t xml:space="preserve"> </w:t>
      </w:r>
      <w:r>
        <w:t xml:space="preserve">— основание: уничтожение проведено не в связи с отзывом согласия (п. 1.1, 1.4 или 1.5 Раздела 1 настоящего Акта); обязанность уведомления настоящим случаем не предусмотрена.</w:t>
      </w:r>
    </w:p>
    <w:bookmarkEnd w:id="27"/>
    <w:bookmarkStart w:id="28" w:name="раздел-5--заключение-комиссии"/>
    <w:p>
      <w:pPr>
        <w:pStyle w:val="Heading2"/>
        <w:jc w:val="left"/>
      </w:pPr>
      <w:r>
        <w:rPr>
          <w:color w:val="000000"/>
        </w:rPr>
        <w:t xml:space="preserve">Раздел 5 — Заключение Комиссии</w:t>
      </w:r>
    </w:p>
    <w:p>
      <w:pPr>
        <w:pStyle w:val="FirstParagraph"/>
        <w:jc w:val="both"/>
      </w:pPr>
      <w:r>
        <w:t xml:space="preserve">Комиссия установила, что персональные данные субъектов, перечисленные в Разделе 2 настоящего Акта, уничтожены в полном объёме способом, указанным в Разделе 3. Восстановление уничтоженных персональных данных признаётся Комиссией технически невозможным.</w:t>
      </w:r>
    </w:p>
    <w:p>
      <w:pPr>
        <w:pStyle w:val="BodyText"/>
        <w:jc w:val="both"/>
      </w:pPr>
      <w:r>
        <w:t xml:space="preserve">Настоящий Акт составлен в двух экземплярах: первый — для хранения у ответственного за организацию обработки персональных данных, второй — в дело.</w:t>
      </w:r>
    </w:p>
    <w:p>
      <w:pPr>
        <w:pStyle w:val="BodyText"/>
        <w:jc w:val="both"/>
      </w:pPr>
      <w:r>
        <w:rPr>
          <w:b/>
          <w:bCs/>
        </w:rPr>
        <w:t xml:space="preserve">Председатель Комиссии: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  <w:jc w:val="both"/>
      </w:pPr>
      <w:r>
        <w:rPr>
          <w:b/>
          <w:bCs/>
        </w:rPr>
        <w:t xml:space="preserve">Члены Комиссии: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p>
      <w:pPr>
        <w:pStyle w:val="BodyText"/>
      </w:pPr>
      <w:r>
        <w:t xml:space="preserve">Должность ________________ Фамилия И.О. ________________ Подпись ________________</w:t>
      </w:r>
    </w:p>
    <w:bookmarkEnd w:id="28"/>
    <w:bookmarkStart w:id="29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акта уничтожения. Удалите страницу перед подписанием документа комиссией.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(переменные документа):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полное и краткое наименование организации-оператора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должность и Фамилия И.О. руководителя, утверждающего акт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~~05~~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~~июня~~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~~2026~~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~~1~~</w:t>
      </w:r>
      <w:r>
        <w:t xml:space="preserve"> </w:t>
      </w:r>
      <w:r>
        <w:t xml:space="preserve">— реквизиты приказа об утверждении формы и дата подписания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~~12~~</w:t>
      </w:r>
      <w:r>
        <w:t xml:space="preserve"> </w:t>
      </w:r>
      <w:r>
        <w:t xml:space="preserve">— порядковый номер акта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[commission.chairman.*]</w:t>
      </w:r>
      <w:r>
        <w:t xml:space="preserve">,</w:t>
      </w:r>
      <w:r>
        <w:t xml:space="preserve"> </w:t>
      </w:r>
      <w:r>
        <w:rPr>
          <w:rStyle w:val="VerbatimChar"/>
        </w:rPr>
        <w:t xml:space="preserve">[commission.member1-3.*]</w:t>
      </w:r>
      <w:r>
        <w:t xml:space="preserve"> </w:t>
      </w:r>
      <w:r>
        <w:t xml:space="preserve">— должности и инициалы председателя и членов комиссии (должность + Фамилия И.О.)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для дат в Разделах 4 и 1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1 — Основание уничтожения: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Отметьте ровно ОДИН пункт (1.1–1.5) и укажите дату наступления основания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Критичные сроки из 152-ФЗ: при отзыве согласия (п. 1.3) — уничтожить не позднее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(ст. 21 ч. 3); при неправомерной обработке (п. 1.4) — не позднее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 </w:t>
      </w:r>
      <w:r>
        <w:t xml:space="preserve">(ст. 21 ч. 5)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2 — Перечень носителей: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t xml:space="preserve">Заполните каждую строку таблицы: наименование носителя (диск, USB, сервер), инвентарный номер или маркировку, место хранения, категорию ПДн, основание уничтожения (номер пункта из Раздела 1)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t xml:space="preserve">Требование: соответствие п. 14 ПП-1119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3 — Способ уничтожения: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t xml:space="preserve">Отметьте один из способов (3.1 программный / 3.2 физический / 3.3 комбинированный)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t xml:space="preserve">Укажите конкретный инструмент: название ПО или оборудования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t xml:space="preserve">Физическое уничтожение — по ГОСТ Р 51141-98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4 — Уведомление субъекта: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Уведомление</w:t>
      </w:r>
      <w:r>
        <w:t xml:space="preserve"> </w:t>
      </w:r>
      <w:r>
        <w:rPr>
          <w:b/>
          <w:bCs/>
        </w:rPr>
        <w:t xml:space="preserve">обязательно</w:t>
      </w:r>
      <w:r>
        <w:t xml:space="preserve"> </w:t>
      </w:r>
      <w:r>
        <w:t xml:space="preserve">при основании 1.3 (отзыв согласия) — ст. 21 ч. 4 152-ФЗ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При основаниях 1.1, 1.4, 1.5 — отметьте «уведомление не требуется»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 акта: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Акт составляется в</w:t>
      </w:r>
      <w:r>
        <w:t xml:space="preserve"> </w:t>
      </w:r>
      <w:r>
        <w:rPr>
          <w:b/>
          <w:bCs/>
        </w:rPr>
        <w:t xml:space="preserve">двух экземплярах</w:t>
      </w:r>
      <w:r>
        <w:t xml:space="preserve">: один — у ответственного за обработку ПДн, второй — в дело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Срок хранения: не менее 3 лет (общий срок для организационно-распорядительных документов по ПДн)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Подписи всех членов комиссии обязательны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Акт уничтожения персональных данных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2026-06-05T15:33:24Z</dcterms:created>
  <dcterms:modified xsi:type="dcterms:W3CDTF">2026-06-05T15:33:24Z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